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2FAE" w14:textId="77777777" w:rsidR="00E55AC7" w:rsidRPr="004A174E" w:rsidRDefault="00E55AC7" w:rsidP="00E55AC7">
      <w:pPr>
        <w:pStyle w:val="Heading1"/>
        <w:numPr>
          <w:ilvl w:val="0"/>
          <w:numId w:val="4"/>
        </w:numPr>
        <w:spacing w:before="0" w:after="0" w:line="480" w:lineRule="auto"/>
        <w:ind w:left="360" w:hanging="360"/>
      </w:pPr>
      <w:r>
        <w:t>Methods</w:t>
      </w:r>
    </w:p>
    <w:p w14:paraId="172FEAFF" w14:textId="77777777" w:rsidR="00E55AC7" w:rsidRPr="003F2513" w:rsidRDefault="00E55AC7" w:rsidP="00E55AC7">
      <w:pPr>
        <w:pStyle w:val="Heading2"/>
        <w:numPr>
          <w:ilvl w:val="0"/>
          <w:numId w:val="4"/>
        </w:numPr>
        <w:spacing w:before="0" w:after="0" w:line="480" w:lineRule="auto"/>
      </w:pPr>
      <w:r>
        <w:t>Study Design and Patient Data</w:t>
      </w:r>
    </w:p>
    <w:p w14:paraId="245708BD" w14:textId="77777777" w:rsidR="00E55AC7" w:rsidRPr="00984931" w:rsidRDefault="00E55AC7" w:rsidP="00E55AC7">
      <w:pPr>
        <w:spacing w:before="0" w:after="0" w:line="480" w:lineRule="auto"/>
        <w:ind w:firstLine="567"/>
        <w:rPr>
          <w:rFonts w:cs="Times New Roman"/>
        </w:rPr>
      </w:pPr>
      <w:r w:rsidRPr="2580F5B4">
        <w:rPr>
          <w:rFonts w:cs="Times New Roman"/>
        </w:rPr>
        <w:t xml:space="preserve">The Mass General Brigham (MGB) Biobank contains ~100,000 banked plasma, serum, and DNA samples from &gt;100,000 consented patients. Electronic Medical Record (EMR) data and lifestyle, environment, and family history surveys can also be linked to the banked samples. The Longitudinal EMR and Omics COVID-19 Cohort (LEOCC) consists of a subset of individuals with prospective plasma samples from the MGB Biobank. Patients with a positive COVID-19 diagnosis (defined as </w:t>
      </w:r>
      <w:r>
        <w:rPr>
          <w:rFonts w:cs="Times New Roman"/>
        </w:rPr>
        <w:t xml:space="preserve">a COVID-19 positive infection control flag, COVID-19 presumed infection control flag, or SARS-CoV-2 RNA positive test result) </w:t>
      </w:r>
      <w:r w:rsidRPr="2580F5B4">
        <w:rPr>
          <w:rFonts w:cs="Times New Roman"/>
        </w:rPr>
        <w:t>and available plasma samples prior to COVID-19 (up to October 27, 2020) were included. No additional exclusion criteria were applied. Clinical data relevant to COVID-19 infection, including clinical measures, disease diagnoses, and COVID-19 severity were also extracted from EMR data for use in statistical models. This study was approved by the Brigham and Women’s Institutional Review Board (</w:t>
      </w:r>
      <w:r>
        <w:rPr>
          <w:rFonts w:cs="Times New Roman"/>
        </w:rPr>
        <w:t xml:space="preserve">IRB: </w:t>
      </w:r>
      <w:r w:rsidRPr="00836112">
        <w:rPr>
          <w:rFonts w:cs="Times New Roman"/>
        </w:rPr>
        <w:t>2014P001109</w:t>
      </w:r>
      <w:r w:rsidRPr="2580F5B4">
        <w:rPr>
          <w:rFonts w:cs="Times New Roman"/>
        </w:rPr>
        <w:t>).</w:t>
      </w:r>
    </w:p>
    <w:p w14:paraId="39F6F4CE" w14:textId="77777777" w:rsidR="00E55AC7" w:rsidRPr="00984931" w:rsidRDefault="00E55AC7" w:rsidP="00E55AC7">
      <w:pPr>
        <w:spacing w:before="0" w:after="0" w:line="480" w:lineRule="auto"/>
        <w:ind w:firstLine="567"/>
        <w:rPr>
          <w:rFonts w:cs="Times New Roman"/>
        </w:rPr>
      </w:pPr>
      <w:r w:rsidRPr="2580F5B4">
        <w:rPr>
          <w:rFonts w:cs="Times New Roman"/>
        </w:rPr>
        <w:t xml:space="preserve">A total of </w:t>
      </w:r>
      <w:r>
        <w:rPr>
          <w:rFonts w:eastAsia="Times New Roman" w:cs="Times New Roman"/>
        </w:rPr>
        <w:t xml:space="preserve">940 </w:t>
      </w:r>
      <w:sdt>
        <w:sdtPr>
          <w:tag w:val="goog_rdk_109"/>
          <w:id w:val="-1503352004"/>
        </w:sdtPr>
        <w:sdtContent/>
      </w:sdt>
      <w:r>
        <w:rPr>
          <w:rFonts w:eastAsia="Times New Roman" w:cs="Times New Roman"/>
        </w:rPr>
        <w:t xml:space="preserve">plasma samples </w:t>
      </w:r>
      <w:r w:rsidRPr="2580F5B4">
        <w:rPr>
          <w:rFonts w:cs="Times New Roman"/>
        </w:rPr>
        <w:t>from 661 individuals were collected from consented patients and were stored at –80 C.  These samples are categorized by the time</w:t>
      </w:r>
      <w:r>
        <w:rPr>
          <w:rFonts w:cs="Times New Roman"/>
        </w:rPr>
        <w:t xml:space="preserve"> point</w:t>
      </w:r>
      <w:r w:rsidRPr="2580F5B4">
        <w:rPr>
          <w:rFonts w:cs="Times New Roman"/>
        </w:rPr>
        <w:t xml:space="preserve"> of collection relative to a positive COVID-19 diagnosis, including 474 </w:t>
      </w:r>
      <w:r>
        <w:rPr>
          <w:rFonts w:cs="Times New Roman"/>
        </w:rPr>
        <w:t>pre-COVID-19</w:t>
      </w:r>
      <w:r w:rsidRPr="2580F5B4">
        <w:rPr>
          <w:rFonts w:cs="Times New Roman"/>
        </w:rPr>
        <w:t xml:space="preserve"> samples (date of collection &lt; date of diagnosis), 282 </w:t>
      </w:r>
      <w:r>
        <w:rPr>
          <w:rFonts w:cs="Times New Roman"/>
        </w:rPr>
        <w:t>during COVID-19</w:t>
      </w:r>
      <w:r w:rsidRPr="2580F5B4">
        <w:rPr>
          <w:rFonts w:cs="Times New Roman"/>
        </w:rPr>
        <w:t xml:space="preserve"> samples (collected within 28 days of diagnosis), and 182</w:t>
      </w:r>
      <w:r>
        <w:rPr>
          <w:rFonts w:cs="Times New Roman"/>
        </w:rPr>
        <w:t xml:space="preserve"> post-COVID-19</w:t>
      </w:r>
      <w:r w:rsidRPr="2580F5B4">
        <w:rPr>
          <w:rFonts w:cs="Times New Roman"/>
        </w:rPr>
        <w:t xml:space="preserve"> samples (collected more than 28 days after COVID-19 diagnosis).  For patients with multiple during and/or </w:t>
      </w:r>
      <w:r>
        <w:rPr>
          <w:rFonts w:cs="Times New Roman"/>
        </w:rPr>
        <w:t>post-COVID-19</w:t>
      </w:r>
      <w:r w:rsidRPr="2580F5B4">
        <w:rPr>
          <w:rFonts w:cs="Times New Roman"/>
        </w:rPr>
        <w:t xml:space="preserve"> samples, only the sample collected at the date closest to diagnosis was retained for </w:t>
      </w:r>
      <w:r>
        <w:rPr>
          <w:rFonts w:cs="Times New Roman"/>
        </w:rPr>
        <w:t>during-COVID-19</w:t>
      </w:r>
      <w:r w:rsidRPr="2580F5B4">
        <w:rPr>
          <w:rFonts w:cs="Times New Roman"/>
        </w:rPr>
        <w:t xml:space="preserve">, and only the sample collected at the date furthest from diagnosis was retained for </w:t>
      </w:r>
      <w:r>
        <w:rPr>
          <w:rFonts w:cs="Times New Roman"/>
        </w:rPr>
        <w:t>post-COVID-19</w:t>
      </w:r>
      <w:r w:rsidRPr="2580F5B4">
        <w:rPr>
          <w:rFonts w:cs="Times New Roman"/>
        </w:rPr>
        <w:t xml:space="preserve">. Patients without BMI data were </w:t>
      </w:r>
      <w:r w:rsidRPr="2580F5B4">
        <w:rPr>
          <w:rFonts w:cs="Times New Roman"/>
        </w:rPr>
        <w:lastRenderedPageBreak/>
        <w:t xml:space="preserve">also excluded from the sample sets, yielding a total of n = 441 </w:t>
      </w:r>
      <w:r>
        <w:rPr>
          <w:rFonts w:cs="Times New Roman"/>
        </w:rPr>
        <w:t>pre-COVID-19</w:t>
      </w:r>
      <w:r w:rsidRPr="2580F5B4">
        <w:rPr>
          <w:rFonts w:cs="Times New Roman"/>
        </w:rPr>
        <w:t xml:space="preserve">, n = 86 </w:t>
      </w:r>
      <w:r>
        <w:rPr>
          <w:rFonts w:cs="Times New Roman"/>
        </w:rPr>
        <w:t>during COVID-19</w:t>
      </w:r>
      <w:r w:rsidRPr="2580F5B4">
        <w:rPr>
          <w:rFonts w:cs="Times New Roman"/>
        </w:rPr>
        <w:t xml:space="preserve">, and n = 82 </w:t>
      </w:r>
      <w:r>
        <w:rPr>
          <w:rFonts w:cs="Times New Roman"/>
        </w:rPr>
        <w:t>post-COVID-19</w:t>
      </w:r>
      <w:r w:rsidRPr="2580F5B4">
        <w:rPr>
          <w:rFonts w:cs="Times New Roman"/>
        </w:rPr>
        <w:t xml:space="preserve"> samples used for analysis.</w:t>
      </w:r>
    </w:p>
    <w:p w14:paraId="521A5AE0" w14:textId="77777777" w:rsidR="00E55AC7" w:rsidRPr="005A40B7" w:rsidRDefault="00E55AC7" w:rsidP="00E55AC7">
      <w:pPr>
        <w:spacing w:before="0" w:after="0" w:line="480" w:lineRule="auto"/>
        <w:ind w:firstLine="567"/>
        <w:rPr>
          <w:rFonts w:cs="Times New Roman"/>
        </w:rPr>
      </w:pPr>
      <w:r w:rsidRPr="00984931">
        <w:rPr>
          <w:rFonts w:cs="Times New Roman"/>
        </w:rPr>
        <w:t>The COVID-19 severity level was determined according to WHO guidelines</w:t>
      </w:r>
      <w:r>
        <w:rPr>
          <w:rFonts w:cs="Times New Roman"/>
        </w:rPr>
        <w:t xml:space="preserve"> </w:t>
      </w:r>
      <w:r>
        <w:rPr>
          <w:rFonts w:cs="Times New Roman"/>
        </w:rPr>
        <w:fldChar w:fldCharType="begin">
          <w:fldData xml:space="preserve">PEVuZE5vdGU+PENpdGU+PEF1dGhvcj5NYXJzaGFsbDwvQXV0aG9yPjxZZWFyPjIwMjA8L1llYXI+
PFJlY051bT41OTwvUmVjTnVtPjxEaXNwbGF5VGV4dD4oMTYpPC9EaXNwbGF5VGV4dD48cmVjb3Jk
PjxyZWMtbnVtYmVyPjU5PC9yZWMtbnVtYmVyPjxmb3JlaWduLWtleXM+PGtleSBhcHA9IkVOIiBk
Yi1pZD0iZHdkMnhlenNtcHdldHVlOWFlZHhzejVyczlkYXpldnN3cjJmIiB0aW1lc3RhbXA9IjE2
ODgxNDE1OTgiPjU5PC9rZXk+PC9mb3JlaWduLWtleXM+PHJlZi10eXBlIG5hbWU9IkpvdXJuYWwg
QXJ0aWNsZSI+MTc8L3JlZi10eXBlPjxjb250cmlidXRvcnM+PGF1dGhvcnM+PGF1dGhvcj5NYXJz
aGFsbCwgSm9obiBDLjwvYXV0aG9yPjxhdXRob3I+TXVydGh5LCBTcmluaXZhczwvYXV0aG9yPjxh
dXRob3I+RGlheiwgSmFuZXQ8L2F1dGhvcj48YXV0aG9yPkFkaGlrYXJpLCBOZWlsPC9hdXRob3I+
PGF1dGhvcj5Bbmd1cywgRGVyZWsgQy48L2F1dGhvcj48YXV0aG9yPkFyYWJpLCBZYXNlZW4gTS48
L2F1dGhvcj48YXV0aG9yPkJhaWxsaWUsIEtlbm5ldGg8L2F1dGhvcj48YXV0aG9yPkJhdWVyLCBN
aWNoYWVsPC9hdXRob3I+PGF1dGhvcj5CZXJyeSwgU2NvdHQ8L2F1dGhvcj48YXV0aG9yPkJsYWNr
d29vZCwgQnJvbmFnaDwvYXV0aG9yPjxhdXRob3I+Qm9udGVuLCBNYXJjPC9hdXRob3I+PGF1dGhv
cj5Cb3p6YSwgRmVybmFuZG88L2F1dGhvcj48YXV0aG9yPkJydW5raG9yc3QsIEZyYW5rPC9hdXRo
b3I+PGF1dGhvcj5DaGVuZywgQWxsZW48L2F1dGhvcj48YXV0aG9yPkNsYXJrZSwgTWlrZTwvYXV0
aG9yPjxhdXRob3I+RGF0LCBWdSBRdW9jPC9hdXRob3I+PGF1dGhvcj5kZSBKb25nLCBNZW5ubzwv
YXV0aG9yPjxhdXRob3I+RGVuaG9sbSwgSnVzdGluPC9hdXRob3I+PGF1dGhvcj5EZXJkZSwgTGVu
bmllPC9hdXRob3I+PGF1dGhvcj5EdW5uaW5nLCBKYWtlPC9hdXRob3I+PGF1dGhvcj5GZW5nLCBY
aWFvYmluPC9hdXRob3I+PGF1dGhvcj5GbGV0Y2hlciwgVG9tPC9hdXRob3I+PGF1dGhvcj5Gb3N0
ZXIsIE5hZGluZTwvYXV0aG9yPjxhdXRob3I+Rm93bGVyLCBSb2I8L2F1dGhvcj48YXV0aG9yPkdv
YmF0LCBOaW5hPC9hdXRob3I+PGF1dGhvcj5Hb21lcnNhbGwsIENoYXJsZXM8L2F1dGhvcj48YXV0
aG9yPkdvcmRvbiwgQW50aG9ueTwvYXV0aG9yPjxhdXRob3I+R2x1ZWNrLCBUaG9tYXM8L2F1dGhv
cj48YXV0aG9yPkhhcmhheSwgTWljaGFlbDwvYXV0aG9yPjxhdXRob3I+SG9kZ3NvbiwgQ2Fyb2w8
L2F1dGhvcj48YXV0aG9yPkhvcmJ5LCBQZXRlcjwvYXV0aG9yPjxhdXRob3I+S2ltLCBZYWUgSmVh
bjwvYXV0aG9yPjxhdXRob3I+S29qYW4sIFJpY2hhcmQ8L2F1dGhvcj48YXV0aG9yPkt1bWFyLCBC
aGFyYXRoPC9hdXRob3I+PGF1dGhvcj5MYWZmZXksIEpvaG48L2F1dGhvcj48YXV0aG9yPk1hbHZl
eSwgRGVuaXM8L2F1dGhvcj48YXV0aG9yPk1hcnRpbi1Mb2VjaGVzLCBJZ25hY2lvPC9hdXRob3I+
PGF1dGhvcj5NY0FydGh1ciwgQ29saW48L2F1dGhvcj48YXV0aG9yPk1jQXVsZXksIERhbm55PC9h
dXRob3I+PGF1dGhvcj5NY0JyaWRlLCBTdGVwaGVuPC9hdXRob3I+PGF1dGhvcj5NY0d1aW5uZXNz
LCBTaGF5PC9hdXRob3I+PGF1dGhvcj5NZXJzb24sIExhdXJhPC9hdXRob3I+PGF1dGhvcj5Nb3Jw
ZXRoLCBTdXNhbjwvYXV0aG9yPjxhdXRob3I+TmVlZGhhbSwgRGFsZTwvYXV0aG9yPjxhdXRob3I+
TmV0ZWEsIE1paGFpPC9hdXRob3I+PGF1dGhvcj5PaCwgTXlvdW5nIERvbjwvYXV0aG9yPjxhdXRo
b3I+UGh5dSwgU2FiYWk8L2F1dGhvcj48YXV0aG9yPlBpdmEsIFNpbW9uZTwvYXV0aG9yPjxhdXRo
b3I+UWl1LCBSdWlqaW48L2F1dGhvcj48YXV0aG9yPlNhbGlzdS1LYWJhcmEsIEhhbGltYTwvYXV0
aG9yPjxhdXRob3I+U2hpLCBMZWk8L2F1dGhvcj48YXV0aG9yPlNoaW1penUsIE5hb2tpPC9hdXRo
b3I+PGF1dGhvcj5TaW5jbGFpciwgSm9yZ2U8L2F1dGhvcj48YXV0aG9yPlRvbmcsIFN0ZXZlbjwv
YXV0aG9yPjxhdXRob3I+VHVyZ2VvbiwgQWxleGlzPC9hdXRob3I+PGF1dGhvcj5VeWVraSwgVGlt
PC9hdXRob3I+PGF1dGhvcj52YW4gZGUgVmVlcmRvbmssIEZyYW5rPC9hdXRob3I+PGF1dGhvcj5X
ZWJiLCBTdGV2ZTwvYXV0aG9yPjxhdXRob3I+V2lsbGlhbXNvbiwgUGF1bGE8L2F1dGhvcj48YXV0
aG9yPldvbGYsIFRpbW88L2F1dGhvcj48YXV0aG9yPlpoYW5nLCBKdW5odWE8L2F1dGhvcj48L2F1
dGhvcnM+PC9jb250cmlidXRvcnM+PHRpdGxlcz48dGl0bGU+QSBtaW5pbWFsIGNvbW1vbiBvdXRj
b21lIG1lYXN1cmUgc2V0IGZvciBDT1ZJRC0xOSBjbGluaWNhbCByZXNlYXJjaDwvdGl0bGU+PHNl
Y29uZGFyeS10aXRsZT5UaGUgTGFuY2V0IEluZmVjdGlvdXMgRGlzZWFzZXM8L3NlY29uZGFyeS10
aXRsZT48L3RpdGxlcz48cGVyaW9kaWNhbD48ZnVsbC10aXRsZT5UaGUgTGFuY2V0IEluZmVjdGlv
dXMgRGlzZWFzZXM8L2Z1bGwtdGl0bGU+PC9wZXJpb2RpY2FsPjxwYWdlcz5lMTkyLWUxOTc8L3Bh
Z2VzPjx2b2x1bWU+MjA8L3ZvbHVtZT48bnVtYmVyPjg8L251bWJlcj48ZGF0ZXM+PHllYXI+MjAy
MDwveWVhcj48L2RhdGVzPjx1cmxzPjwvdXJscz48ZWxlY3Ryb25pYy1yZXNvdXJjZS1udW0+MTAu
MTAxNi9TMTQ3My0zMDk5KDIwKTMwNDgzLTc8L2VsZWN0cm9uaWMtcmVzb3VyY2UtbnVtPjwvcmVj
b3JkPjwvQ2l0ZT48L0VuZE5vdGU+
</w:fldData>
        </w:fldChar>
      </w:r>
      <w:r>
        <w:rPr>
          <w:rFonts w:cs="Times New Roman"/>
        </w:rPr>
        <w:instrText xml:space="preserve"> ADDIN EN.CITE </w:instrText>
      </w:r>
      <w:r>
        <w:rPr>
          <w:rFonts w:cs="Times New Roman"/>
        </w:rPr>
        <w:fldChar w:fldCharType="begin">
          <w:fldData xml:space="preserve">PEVuZE5vdGU+PENpdGU+PEF1dGhvcj5NYXJzaGFsbDwvQXV0aG9yPjxZZWFyPjIwMjA8L1llYXI+
PFJlY051bT41OTwvUmVjTnVtPjxEaXNwbGF5VGV4dD4oMTYpPC9EaXNwbGF5VGV4dD48cmVjb3Jk
PjxyZWMtbnVtYmVyPjU5PC9yZWMtbnVtYmVyPjxmb3JlaWduLWtleXM+PGtleSBhcHA9IkVOIiBk
Yi1pZD0iZHdkMnhlenNtcHdldHVlOWFlZHhzejVyczlkYXpldnN3cjJmIiB0aW1lc3RhbXA9IjE2
ODgxNDE1OTgiPjU5PC9rZXk+PC9mb3JlaWduLWtleXM+PHJlZi10eXBlIG5hbWU9IkpvdXJuYWwg
QXJ0aWNsZSI+MTc8L3JlZi10eXBlPjxjb250cmlidXRvcnM+PGF1dGhvcnM+PGF1dGhvcj5NYXJz
aGFsbCwgSm9obiBDLjwvYXV0aG9yPjxhdXRob3I+TXVydGh5LCBTcmluaXZhczwvYXV0aG9yPjxh
dXRob3I+RGlheiwgSmFuZXQ8L2F1dGhvcj48YXV0aG9yPkFkaGlrYXJpLCBOZWlsPC9hdXRob3I+
PGF1dGhvcj5Bbmd1cywgRGVyZWsgQy48L2F1dGhvcj48YXV0aG9yPkFyYWJpLCBZYXNlZW4gTS48
L2F1dGhvcj48YXV0aG9yPkJhaWxsaWUsIEtlbm5ldGg8L2F1dGhvcj48YXV0aG9yPkJhdWVyLCBN
aWNoYWVsPC9hdXRob3I+PGF1dGhvcj5CZXJyeSwgU2NvdHQ8L2F1dGhvcj48YXV0aG9yPkJsYWNr
d29vZCwgQnJvbmFnaDwvYXV0aG9yPjxhdXRob3I+Qm9udGVuLCBNYXJjPC9hdXRob3I+PGF1dGhv
cj5Cb3p6YSwgRmVybmFuZG88L2F1dGhvcj48YXV0aG9yPkJydW5raG9yc3QsIEZyYW5rPC9hdXRo
b3I+PGF1dGhvcj5DaGVuZywgQWxsZW48L2F1dGhvcj48YXV0aG9yPkNsYXJrZSwgTWlrZTwvYXV0
aG9yPjxhdXRob3I+RGF0LCBWdSBRdW9jPC9hdXRob3I+PGF1dGhvcj5kZSBKb25nLCBNZW5ubzwv
YXV0aG9yPjxhdXRob3I+RGVuaG9sbSwgSnVzdGluPC9hdXRob3I+PGF1dGhvcj5EZXJkZSwgTGVu
bmllPC9hdXRob3I+PGF1dGhvcj5EdW5uaW5nLCBKYWtlPC9hdXRob3I+PGF1dGhvcj5GZW5nLCBY
aWFvYmluPC9hdXRob3I+PGF1dGhvcj5GbGV0Y2hlciwgVG9tPC9hdXRob3I+PGF1dGhvcj5Gb3N0
ZXIsIE5hZGluZTwvYXV0aG9yPjxhdXRob3I+Rm93bGVyLCBSb2I8L2F1dGhvcj48YXV0aG9yPkdv
YmF0LCBOaW5hPC9hdXRob3I+PGF1dGhvcj5Hb21lcnNhbGwsIENoYXJsZXM8L2F1dGhvcj48YXV0
aG9yPkdvcmRvbiwgQW50aG9ueTwvYXV0aG9yPjxhdXRob3I+R2x1ZWNrLCBUaG9tYXM8L2F1dGhv
cj48YXV0aG9yPkhhcmhheSwgTWljaGFlbDwvYXV0aG9yPjxhdXRob3I+SG9kZ3NvbiwgQ2Fyb2w8
L2F1dGhvcj48YXV0aG9yPkhvcmJ5LCBQZXRlcjwvYXV0aG9yPjxhdXRob3I+S2ltLCBZYWUgSmVh
bjwvYXV0aG9yPjxhdXRob3I+S29qYW4sIFJpY2hhcmQ8L2F1dGhvcj48YXV0aG9yPkt1bWFyLCBC
aGFyYXRoPC9hdXRob3I+PGF1dGhvcj5MYWZmZXksIEpvaG48L2F1dGhvcj48YXV0aG9yPk1hbHZl
eSwgRGVuaXM8L2F1dGhvcj48YXV0aG9yPk1hcnRpbi1Mb2VjaGVzLCBJZ25hY2lvPC9hdXRob3I+
PGF1dGhvcj5NY0FydGh1ciwgQ29saW48L2F1dGhvcj48YXV0aG9yPk1jQXVsZXksIERhbm55PC9h
dXRob3I+PGF1dGhvcj5NY0JyaWRlLCBTdGVwaGVuPC9hdXRob3I+PGF1dGhvcj5NY0d1aW5uZXNz
LCBTaGF5PC9hdXRob3I+PGF1dGhvcj5NZXJzb24sIExhdXJhPC9hdXRob3I+PGF1dGhvcj5Nb3Jw
ZXRoLCBTdXNhbjwvYXV0aG9yPjxhdXRob3I+TmVlZGhhbSwgRGFsZTwvYXV0aG9yPjxhdXRob3I+
TmV0ZWEsIE1paGFpPC9hdXRob3I+PGF1dGhvcj5PaCwgTXlvdW5nIERvbjwvYXV0aG9yPjxhdXRo
b3I+UGh5dSwgU2FiYWk8L2F1dGhvcj48YXV0aG9yPlBpdmEsIFNpbW9uZTwvYXV0aG9yPjxhdXRo
b3I+UWl1LCBSdWlqaW48L2F1dGhvcj48YXV0aG9yPlNhbGlzdS1LYWJhcmEsIEhhbGltYTwvYXV0
aG9yPjxhdXRob3I+U2hpLCBMZWk8L2F1dGhvcj48YXV0aG9yPlNoaW1penUsIE5hb2tpPC9hdXRo
b3I+PGF1dGhvcj5TaW5jbGFpciwgSm9yZ2U8L2F1dGhvcj48YXV0aG9yPlRvbmcsIFN0ZXZlbjwv
YXV0aG9yPjxhdXRob3I+VHVyZ2VvbiwgQWxleGlzPC9hdXRob3I+PGF1dGhvcj5VeWVraSwgVGlt
PC9hdXRob3I+PGF1dGhvcj52YW4gZGUgVmVlcmRvbmssIEZyYW5rPC9hdXRob3I+PGF1dGhvcj5X
ZWJiLCBTdGV2ZTwvYXV0aG9yPjxhdXRob3I+V2lsbGlhbXNvbiwgUGF1bGE8L2F1dGhvcj48YXV0
aG9yPldvbGYsIFRpbW88L2F1dGhvcj48YXV0aG9yPlpoYW5nLCBKdW5odWE8L2F1dGhvcj48L2F1
dGhvcnM+PC9jb250cmlidXRvcnM+PHRpdGxlcz48dGl0bGU+QSBtaW5pbWFsIGNvbW1vbiBvdXRj
b21lIG1lYXN1cmUgc2V0IGZvciBDT1ZJRC0xOSBjbGluaWNhbCByZXNlYXJjaDwvdGl0bGU+PHNl
Y29uZGFyeS10aXRsZT5UaGUgTGFuY2V0IEluZmVjdGlvdXMgRGlzZWFzZXM8L3NlY29uZGFyeS10
aXRsZT48L3RpdGxlcz48cGVyaW9kaWNhbD48ZnVsbC10aXRsZT5UaGUgTGFuY2V0IEluZmVjdGlv
dXMgRGlzZWFzZXM8L2Z1bGwtdGl0bGU+PC9wZXJpb2RpY2FsPjxwYWdlcz5lMTkyLWUxOTc8L3Bh
Z2VzPjx2b2x1bWU+MjA8L3ZvbHVtZT48bnVtYmVyPjg8L251bWJlcj48ZGF0ZXM+PHllYXI+MjAy
MDwveWVhcj48L2RhdGVzPjx1cmxzPjwvdXJscz48ZWxlY3Ryb25pYy1yZXNvdXJjZS1udW0+MTAu
MTAxNi9TMTQ3My0zMDk5KDIwKTMwNDgzLTc8L2VsZWN0cm9uaWMtcmVzb3VyY2UtbnVtPjwvcmVj
b3JkPjwvQ2l0ZT48L0VuZE5vdGU+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(16)</w:t>
      </w:r>
      <w:r>
        <w:rPr>
          <w:rFonts w:cs="Times New Roman"/>
        </w:rPr>
        <w:fldChar w:fldCharType="end"/>
      </w:r>
      <w:r w:rsidRPr="00984931">
        <w:rPr>
          <w:rFonts w:cs="Times New Roman"/>
        </w:rPr>
        <w:t xml:space="preserve"> as 0 = ambulatory mild disease (no hospitalization), 1 = hospitalized moderate disease (hospitalized without ventilation), 2 = hospitalized severe disease (hospitalized with ventilation), or 3 = death. Further demographic</w:t>
      </w:r>
      <w:r>
        <w:rPr>
          <w:rFonts w:cs="Times New Roman"/>
        </w:rPr>
        <w:t>, risk factor, and comorbidity</w:t>
      </w:r>
      <w:r w:rsidRPr="00984931">
        <w:rPr>
          <w:rFonts w:cs="Times New Roman"/>
        </w:rPr>
        <w:t xml:space="preserve"> </w:t>
      </w:r>
      <w:r>
        <w:rPr>
          <w:rFonts w:cs="Times New Roman"/>
        </w:rPr>
        <w:t xml:space="preserve">covariables were defined before COVID-19 diagnosis for all patients as follows: </w:t>
      </w:r>
      <w:r w:rsidRPr="00F91F9F">
        <w:rPr>
          <w:rFonts w:cs="Times New Roman"/>
          <w:i/>
          <w:iCs/>
        </w:rPr>
        <w:t>age</w:t>
      </w:r>
      <w:r w:rsidRPr="00F91F9F">
        <w:rPr>
          <w:rFonts w:cs="Times New Roman"/>
        </w:rPr>
        <w:t xml:space="preserve"> is the numerical patient age; </w:t>
      </w:r>
      <w:r w:rsidRPr="00F91F9F">
        <w:rPr>
          <w:rFonts w:cs="Times New Roman"/>
          <w:i/>
          <w:iCs/>
        </w:rPr>
        <w:t>race</w:t>
      </w:r>
      <w:r w:rsidRPr="00F91F9F">
        <w:rPr>
          <w:rFonts w:cs="Times New Roman"/>
        </w:rPr>
        <w:t xml:space="preserve"> is categorical (black, other, white); </w:t>
      </w:r>
      <w:r w:rsidRPr="00F91F9F">
        <w:rPr>
          <w:rFonts w:cs="Times New Roman"/>
          <w:i/>
          <w:iCs/>
        </w:rPr>
        <w:t>ethnicity</w:t>
      </w:r>
      <w:r w:rsidRPr="00F91F9F">
        <w:rPr>
          <w:rFonts w:cs="Times New Roman"/>
        </w:rPr>
        <w:t xml:space="preserve"> (Hispanic/non-Hispanic), </w:t>
      </w:r>
      <w:r w:rsidRPr="00F91F9F">
        <w:rPr>
          <w:rFonts w:cs="Times New Roman"/>
          <w:i/>
          <w:iCs/>
        </w:rPr>
        <w:t>sex</w:t>
      </w:r>
      <w:r w:rsidRPr="00F91F9F">
        <w:rPr>
          <w:rFonts w:cs="Times New Roman"/>
        </w:rPr>
        <w:t xml:space="preserve"> (female/male), and </w:t>
      </w:r>
      <w:r w:rsidRPr="00F91F9F">
        <w:rPr>
          <w:rFonts w:cs="Times New Roman"/>
          <w:i/>
          <w:iCs/>
        </w:rPr>
        <w:t>smoking</w:t>
      </w:r>
      <w:r w:rsidRPr="00F91F9F">
        <w:rPr>
          <w:rFonts w:cs="Times New Roman"/>
        </w:rPr>
        <w:t xml:space="preserve"> </w:t>
      </w:r>
      <w:r>
        <w:rPr>
          <w:rFonts w:cs="Times New Roman"/>
        </w:rPr>
        <w:t xml:space="preserve">(yes/no) </w:t>
      </w:r>
      <w:r w:rsidRPr="00F91F9F">
        <w:rPr>
          <w:rFonts w:cs="Times New Roman"/>
        </w:rPr>
        <w:t xml:space="preserve">are binary; </w:t>
      </w:r>
      <w:r w:rsidRPr="00F91F9F">
        <w:rPr>
          <w:rFonts w:cs="Times New Roman"/>
          <w:i/>
          <w:iCs/>
        </w:rPr>
        <w:t>BMI</w:t>
      </w:r>
      <w:r w:rsidRPr="00F91F9F">
        <w:rPr>
          <w:rFonts w:cs="Times New Roman"/>
        </w:rPr>
        <w:t xml:space="preserve"> is the numerical median body mass index (BMI) for each patient</w:t>
      </w:r>
      <w:r>
        <w:rPr>
          <w:rFonts w:cs="Times New Roman"/>
        </w:rPr>
        <w:t xml:space="preserve">; and </w:t>
      </w:r>
      <w:r>
        <w:rPr>
          <w:rFonts w:cs="Times New Roman"/>
          <w:i/>
          <w:iCs/>
        </w:rPr>
        <w:t>comorbidity level</w:t>
      </w:r>
      <w:r>
        <w:rPr>
          <w:rFonts w:cs="Times New Roman"/>
        </w:rPr>
        <w:t xml:space="preserve"> is a binary “mild” or “severe” factor based on a </w:t>
      </w:r>
      <w:proofErr w:type="spellStart"/>
      <w:r>
        <w:rPr>
          <w:rFonts w:cs="Times New Roman"/>
        </w:rPr>
        <w:t>Charlson</w:t>
      </w:r>
      <w:proofErr w:type="spellEnd"/>
      <w:r>
        <w:rPr>
          <w:rFonts w:cs="Times New Roman"/>
        </w:rPr>
        <w:t xml:space="preserve"> index &lt; 5 or ≥ 5, respectively.</w:t>
      </w:r>
    </w:p>
    <w:p w14:paraId="581D2D9F" w14:textId="77777777" w:rsidR="00E55AC7" w:rsidRDefault="00E55AC7" w:rsidP="00E55AC7">
      <w:pPr>
        <w:pStyle w:val="Heading2"/>
        <w:numPr>
          <w:ilvl w:val="0"/>
          <w:numId w:val="4"/>
        </w:numPr>
        <w:spacing w:before="0" w:after="0" w:line="480" w:lineRule="auto"/>
      </w:pPr>
      <w:proofErr w:type="spellStart"/>
      <w:r>
        <w:t>Charlson</w:t>
      </w:r>
      <w:proofErr w:type="spellEnd"/>
      <w:r>
        <w:t xml:space="preserve"> Index Calculation</w:t>
      </w:r>
    </w:p>
    <w:p w14:paraId="726C1C54" w14:textId="77777777" w:rsidR="00E55AC7" w:rsidRPr="005A40B7" w:rsidRDefault="00E55AC7" w:rsidP="00E55AC7">
      <w:pPr>
        <w:spacing w:before="0" w:after="0" w:line="480" w:lineRule="auto"/>
        <w:ind w:firstLine="567"/>
        <w:rPr>
          <w:rFonts w:cs="Times New Roman"/>
        </w:rPr>
      </w:pPr>
      <w:proofErr w:type="spellStart"/>
      <w:r w:rsidRPr="00857502">
        <w:rPr>
          <w:rFonts w:cs="Times New Roman"/>
        </w:rPr>
        <w:t>Charlson</w:t>
      </w:r>
      <w:proofErr w:type="spellEnd"/>
      <w:r w:rsidRPr="00857502">
        <w:rPr>
          <w:rFonts w:cs="Times New Roman"/>
        </w:rPr>
        <w:t xml:space="preserve"> indexes were calculated as previously described </w:t>
      </w:r>
      <w:r w:rsidRPr="00857502">
        <w:rPr>
          <w:rFonts w:cs="Times New Roman"/>
        </w:rPr>
        <w:fldChar w:fldCharType="begin"/>
      </w:r>
      <w:r>
        <w:rPr>
          <w:rFonts w:cs="Times New Roman"/>
        </w:rPr>
        <w:instrText xml:space="preserve"> ADDIN EN.CITE &lt;EndNote&gt;&lt;Cite&gt;&lt;Author&gt;Charlson&lt;/Author&gt;&lt;Year&gt;1987&lt;/Year&gt;&lt;RecNum&gt;113&lt;/RecNum&gt;&lt;DisplayText&gt;(17)&lt;/DisplayText&gt;&lt;record&gt;&lt;rec-number&gt;113&lt;/rec-number&gt;&lt;foreign-keys&gt;&lt;key app="EN" db-id="dwd2xezsmpwetue9aedxsz5rs9dazevswr2f" timestamp="1688217647"&gt;113&lt;/key&gt;&lt;/foreign-keys&gt;&lt;ref-type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electronic-resource-num&gt;10.1016/0021-9681(87)90171-8&lt;/electronic-resource-num&gt;&lt;remote-database-provider&gt;NLM&lt;/remote-database-provider&gt;&lt;language&gt;eng&lt;/language&gt;&lt;/record&gt;&lt;/Cite&gt;&lt;/EndNote&gt;</w:instrText>
      </w:r>
      <w:r w:rsidRPr="00857502">
        <w:rPr>
          <w:rFonts w:cs="Times New Roman"/>
        </w:rPr>
        <w:fldChar w:fldCharType="separate"/>
      </w:r>
      <w:r>
        <w:rPr>
          <w:rFonts w:cs="Times New Roman"/>
          <w:noProof/>
        </w:rPr>
        <w:t>(17)</w:t>
      </w:r>
      <w:r w:rsidRPr="00857502">
        <w:rPr>
          <w:rFonts w:cs="Times New Roman"/>
        </w:rPr>
        <w:fldChar w:fldCharType="end"/>
      </w:r>
      <w:r w:rsidRPr="00857502">
        <w:rPr>
          <w:rFonts w:cs="Times New Roman"/>
        </w:rPr>
        <w:t xml:space="preserve"> for each patient. Indexes were calculated based on the presence of diseases and age scores listed in</w:t>
      </w:r>
      <w:r>
        <w:rPr>
          <w:rFonts w:cs="Times New Roman"/>
        </w:rPr>
        <w:t xml:space="preserve"> </w:t>
      </w:r>
      <w:proofErr w:type="spellStart"/>
      <w:r>
        <w:rPr>
          <w:rFonts w:cs="Times New Roman"/>
        </w:rPr>
        <w:t>Charlson</w:t>
      </w:r>
      <w:proofErr w:type="spellEnd"/>
      <w:r>
        <w:rPr>
          <w:rFonts w:cs="Times New Roman"/>
        </w:rPr>
        <w:t>, 2022</w:t>
      </w:r>
      <w:r w:rsidRPr="00857502">
        <w:rPr>
          <w:rFonts w:cs="Times New Roman"/>
        </w:rPr>
        <w:t>, where categories were defined by groups of ICD-9 codes</w:t>
      </w:r>
      <w:r>
        <w:rPr>
          <w:rFonts w:cs="Times New Roman"/>
        </w:rPr>
        <w:t xml:space="preserve"> and assigned a weight from 1 to 6, where more severe comorbidity categories had a higher weight </w:t>
      </w:r>
      <w:r>
        <w:rPr>
          <w:rFonts w:cs="Times New Roman"/>
        </w:rPr>
        <w:fldChar w:fldCharType="begin"/>
      </w:r>
      <w:r>
        <w:rPr>
          <w:rFonts w:cs="Times New Roman"/>
        </w:rPr>
        <w:instrText xml:space="preserve"> ADDIN EN.CITE &lt;EndNote&gt;&lt;Cite&gt;&lt;Author&gt;Charlson&lt;/Author&gt;&lt;Year&gt;2022&lt;/Year&gt;&lt;RecNum&gt;118&lt;/RecNum&gt;&lt;DisplayText&gt;(18)&lt;/DisplayText&gt;&lt;record&gt;&lt;rec-number&gt;118&lt;/rec-number&gt;&lt;foreign-keys&gt;&lt;key app="EN" db-id="dwd2xezsmpwetue9aedxsz5rs9dazevswr2f" timestamp="1688654828"&gt;118&lt;/key&gt;&lt;/foreign-keys&gt;&lt;ref-type name="Journal Article"&gt;17&lt;/ref-type&gt;&lt;contributors&gt;&lt;authors&gt;&lt;author&gt;Charlson, M. E.&lt;/author&gt;&lt;author&gt;Carrozzino, D.&lt;/author&gt;&lt;author&gt;Guidi, J.&lt;/author&gt;&lt;author&gt;Patierno, C.&lt;/author&gt;&lt;/authors&gt;&lt;/contributors&gt;&lt;auth-address&gt;Division of Clinical Epidemiology and Evaluative Sciences Research, Department of Medicine, Weill Cornell Medicine, New York, New York, USA.&amp;#xD;Department of Psychology &amp;quot;Renzo Canestrari,&amp;quot; University of Bologna, Bologna, Italy.&lt;/auth-address&gt;&lt;titles&gt;&lt;title&gt;Charlson Comorbidity Index: A Critical Review of Clinimetric Properties&lt;/title&gt;&lt;secondary-title&gt;Psychother Psychosom&lt;/secondary-title&gt;&lt;/titles&gt;&lt;periodical&gt;&lt;full-title&gt;Psychother Psychosom&lt;/full-title&gt;&lt;/periodical&gt;&lt;pages&gt;8-35&lt;/pages&gt;&lt;volume&gt;91&lt;/volume&gt;&lt;number&gt;1&lt;/number&gt;&lt;edition&gt;20220106&lt;/edition&gt;&lt;keywords&gt;&lt;keyword&gt;Comorbidity&lt;/keyword&gt;&lt;keyword&gt;Humans&lt;/keyword&gt;&lt;keyword&gt;*International Classification of Diseases&lt;/keyword&gt;&lt;keyword&gt;Prognosis&lt;/keyword&gt;&lt;keyword&gt;Reproducibility of Results&lt;/keyword&gt;&lt;keyword&gt;Retrospective Studies&lt;/keyword&gt;&lt;keyword&gt;Clinimetric properties&lt;/keyword&gt;&lt;keyword&gt;Indices&lt;/keyword&gt;&lt;keyword&gt;Sensitivity&lt;/keyword&gt;&lt;/keywords&gt;&lt;dates&gt;&lt;year&gt;2022&lt;/year&gt;&lt;/dates&gt;&lt;isbn&gt;0033-3190&lt;/isbn&gt;&lt;accession-num&gt;34991091&lt;/accession-num&gt;&lt;urls&gt;&lt;/urls&gt;&lt;electronic-resource-num&gt;10.1159/000521288&lt;/electronic-resource-num&gt;&lt;remote-database-provider&gt;NLM&lt;/remote-database-provider&gt;&lt;language&gt;eng&lt;/language&gt;&lt;/record&gt;&lt;/Cite&gt;&lt;/EndNote&gt;</w:instrText>
      </w:r>
      <w:r>
        <w:rPr>
          <w:rFonts w:cs="Times New Roman"/>
        </w:rPr>
        <w:fldChar w:fldCharType="separate"/>
      </w:r>
      <w:r>
        <w:rPr>
          <w:rFonts w:cs="Times New Roman"/>
          <w:noProof/>
        </w:rPr>
        <w:t>(18)</w:t>
      </w:r>
      <w:r>
        <w:rPr>
          <w:rFonts w:cs="Times New Roman"/>
        </w:rPr>
        <w:fldChar w:fldCharType="end"/>
      </w:r>
      <w:r w:rsidRPr="00857502">
        <w:rPr>
          <w:rFonts w:cs="Times New Roman"/>
        </w:rPr>
        <w:t xml:space="preserve">. The sum of the scores of </w:t>
      </w:r>
      <w:r>
        <w:rPr>
          <w:rFonts w:cs="Times New Roman"/>
        </w:rPr>
        <w:t>comorbidity presence</w:t>
      </w:r>
      <w:r w:rsidRPr="00857502">
        <w:rPr>
          <w:rFonts w:cs="Times New Roman"/>
        </w:rPr>
        <w:t xml:space="preserve"> plus the age score yielded the </w:t>
      </w:r>
      <w:proofErr w:type="spellStart"/>
      <w:r w:rsidRPr="00857502">
        <w:rPr>
          <w:rFonts w:cs="Times New Roman"/>
        </w:rPr>
        <w:t>Charlson</w:t>
      </w:r>
      <w:proofErr w:type="spellEnd"/>
      <w:r w:rsidRPr="00857502">
        <w:rPr>
          <w:rFonts w:cs="Times New Roman"/>
        </w:rPr>
        <w:t xml:space="preserve"> index, which is negatively associated with 10-year survival. </w:t>
      </w:r>
      <w:proofErr w:type="spellStart"/>
      <w:r>
        <w:rPr>
          <w:rFonts w:cs="Times New Roman"/>
        </w:rPr>
        <w:t>Charlson</w:t>
      </w:r>
      <w:proofErr w:type="spellEnd"/>
      <w:r>
        <w:rPr>
          <w:rFonts w:cs="Times New Roman"/>
        </w:rPr>
        <w:t xml:space="preserve"> indexes were divided into two categories: an index &lt; 5 was defined as </w:t>
      </w:r>
      <w:r w:rsidRPr="004626E2">
        <w:rPr>
          <w:rFonts w:cs="Times New Roman"/>
          <w:i/>
          <w:iCs/>
        </w:rPr>
        <w:t xml:space="preserve">mild </w:t>
      </w:r>
      <w:r w:rsidRPr="004626E2">
        <w:rPr>
          <w:rFonts w:cs="Times New Roman"/>
        </w:rPr>
        <w:t xml:space="preserve">and </w:t>
      </w:r>
      <w:r w:rsidRPr="00857502">
        <w:rPr>
          <w:rFonts w:cs="Times New Roman" w:hint="eastAsia"/>
        </w:rPr>
        <w:t xml:space="preserve">&gt;= 5 as </w:t>
      </w:r>
      <w:r w:rsidRPr="00857502">
        <w:rPr>
          <w:rFonts w:cs="Times New Roman" w:hint="eastAsia"/>
          <w:i/>
          <w:iCs/>
        </w:rPr>
        <w:t xml:space="preserve">severe </w:t>
      </w:r>
      <w:r w:rsidRPr="00857502">
        <w:rPr>
          <w:rFonts w:cs="Times New Roman" w:hint="eastAsia"/>
        </w:rPr>
        <w:t>comorbidity.</w:t>
      </w:r>
    </w:p>
    <w:p w14:paraId="3887AE1D" w14:textId="77777777" w:rsidR="00E55AC7" w:rsidRPr="00984931" w:rsidRDefault="00E55AC7" w:rsidP="00E55AC7">
      <w:pPr>
        <w:pStyle w:val="Heading2"/>
        <w:numPr>
          <w:ilvl w:val="0"/>
          <w:numId w:val="4"/>
        </w:numPr>
        <w:spacing w:before="0" w:after="0" w:line="480" w:lineRule="auto"/>
      </w:pPr>
      <w:r w:rsidRPr="2AAD522F">
        <w:t>Metabolomics Analyses</w:t>
      </w:r>
    </w:p>
    <w:p w14:paraId="482F6214" w14:textId="77777777" w:rsidR="00E55AC7" w:rsidRPr="00984931" w:rsidRDefault="00E55AC7" w:rsidP="00E55AC7">
      <w:pPr>
        <w:spacing w:before="0" w:after="0" w:line="480" w:lineRule="auto"/>
        <w:ind w:firstLine="567"/>
        <w:rPr>
          <w:rFonts w:cs="Times New Roman"/>
        </w:rPr>
      </w:pPr>
      <w:r w:rsidRPr="00984931">
        <w:rPr>
          <w:rFonts w:cs="Times New Roman"/>
        </w:rPr>
        <w:t>Plasma samples were sent to Metabolon for comprehensive metabolomic profiling of polar and nonpolar metabolite classes in plasma extracts.</w:t>
      </w:r>
      <w:r>
        <w:rPr>
          <w:rFonts w:cs="Times New Roman"/>
        </w:rPr>
        <w:t xml:space="preserve"> Samples were extracted and prepared according to methods published previously </w:t>
      </w:r>
      <w:r>
        <w:rPr>
          <w:rFonts w:cs="Times New Roman"/>
        </w:rPr>
        <w:fldChar w:fldCharType="begin"/>
      </w:r>
      <w:r>
        <w:rPr>
          <w:rFonts w:cs="Times New Roman"/>
        </w:rPr>
        <w:instrText xml:space="preserve"> ADDIN EN.CITE &lt;EndNote&gt;&lt;Cite&gt;&lt;Author&gt;Sha&lt;/Author&gt;&lt;Year&gt;2010&lt;/Year&gt;&lt;RecNum&gt;52&lt;/RecNum&gt;&lt;DisplayText&gt;(19)&lt;/DisplayText&gt;&lt;record&gt;&lt;rec-number&gt;52&lt;/rec-number&gt;&lt;foreign-keys&gt;&lt;key app="EN" db-id="dwd2xezsmpwetue9aedxsz5rs9dazevswr2f" timestamp="1688141598"&gt;52&lt;/key</w:instrText>
      </w:r>
      <w:r>
        <w:rPr>
          <w:rFonts w:cs="Times New Roman" w:hint="eastAsia"/>
        </w:rPr>
        <w:instrText>&gt;&lt;/foreign-keys&gt;&lt;ref-type name="Journal Article"&gt;17&lt;/ref-type&gt;&lt;contributors&gt;&lt;authors&gt;&lt;author&gt;Sha, Wei&lt;/author&gt;&lt;author&gt;Costa, Kerry</w:instrText>
      </w:r>
      <w:r>
        <w:rPr>
          <w:rFonts w:cs="Times New Roman" w:hint="eastAsia"/>
        </w:rPr>
        <w:instrText>‐</w:instrText>
      </w:r>
      <w:r>
        <w:rPr>
          <w:rFonts w:cs="Times New Roman" w:hint="eastAsia"/>
        </w:rPr>
        <w:instrText>Ann Da&lt;/author&gt;&lt;author&gt;Fischer, Leslie M.&lt;/author&gt;&lt;author&gt;Milburn, Michael V.&lt;/author&gt;&lt;author&gt;Lawton, Kay A.&lt;/author&gt;&lt;author</w:instrText>
      </w:r>
      <w:r>
        <w:rPr>
          <w:rFonts w:cs="Times New Roman"/>
        </w:rPr>
        <w:instrText>&gt;Berger, Alvin&lt;/author&gt;&lt;author&gt;Jia, Wei&lt;/author&gt;&lt;author&gt;Zeisel, Steven H.&lt;/author&gt;&lt;/authors&gt;&lt;/contributors&gt;&lt;titles&gt;&lt;title&gt;Metabolomic profiling can predict which humans will develop liver dysfunction when deprived of dietary choline&lt;/title&gt;&lt;secondary-title&gt;The FASEB Journal&lt;/secondary-title&gt;&lt;/titles&gt;&lt;periodical&gt;&lt;full-title&gt;The FASEB Journal&lt;/full-title&gt;&lt;/periodical&gt;&lt;pages&gt;2962-2975&lt;/pages&gt;&lt;volume&gt;24&lt;/volume&gt;&lt;number&gt;8&lt;/number&gt;&lt;keywords&gt;&lt;keyword&gt;1&lt;/keyword&gt;&lt;keyword&gt;a&lt;/keyword&gt;&lt;keyword&gt;and then to betaine&lt;/keyword&gt;&lt;keyword&gt;choline is an essential&lt;/keyword&gt;&lt;keyword&gt;enzyme-catalyzed pathways utilize choline&lt;/keyword&gt;&lt;keyword&gt;fatty liver ⅐ metabolomics&lt;/keyword&gt;&lt;keyword&gt;it is&lt;/keyword&gt;&lt;keyword&gt;nutrient for humans&lt;/keyword&gt;&lt;keyword&gt;oxidized to betaine aldehyde&lt;/keyword&gt;&lt;keyword&gt;ն 4&lt;/keyword&gt;&lt;keyword&gt;⅐ plasma ⅐ pemt&lt;/keyword&gt;&lt;/keywords&gt;&lt;dates&gt;&lt;year&gt;2010&lt;/year&gt;&lt;/dates&gt;&lt;urls&gt;&lt;/urls&gt;&lt;electronic-resource-num&gt;10.1096/fj.09-154054&lt;/electronic-resource-num&gt;&lt;/record&gt;&lt;/Cite&gt;&lt;/EndNote&gt;</w:instrText>
      </w:r>
      <w:r>
        <w:rPr>
          <w:rFonts w:cs="Times New Roman"/>
        </w:rPr>
        <w:fldChar w:fldCharType="separate"/>
      </w:r>
      <w:r>
        <w:rPr>
          <w:rFonts w:cs="Times New Roman"/>
          <w:noProof/>
        </w:rPr>
        <w:t>(19)</w:t>
      </w:r>
      <w:r>
        <w:rPr>
          <w:rFonts w:cs="Times New Roman"/>
        </w:rPr>
        <w:fldChar w:fldCharType="end"/>
      </w:r>
      <w:r>
        <w:rPr>
          <w:rFonts w:cs="Times New Roman"/>
        </w:rPr>
        <w:t>.</w:t>
      </w:r>
      <w:r w:rsidRPr="00984931">
        <w:rPr>
          <w:rFonts w:cs="Times New Roman"/>
        </w:rPr>
        <w:t xml:space="preserve"> </w:t>
      </w:r>
      <w:r>
        <w:rPr>
          <w:rFonts w:cs="Times New Roman"/>
        </w:rPr>
        <w:t>Q</w:t>
      </w:r>
      <w:r w:rsidRPr="00984931">
        <w:rPr>
          <w:rFonts w:cs="Times New Roman"/>
        </w:rPr>
        <w:t>uality control (QC) samples were used to control for batch variation</w:t>
      </w:r>
      <w:r>
        <w:rPr>
          <w:rFonts w:cs="Times New Roman"/>
        </w:rPr>
        <w:t xml:space="preserve"> throughout the run</w:t>
      </w:r>
      <w:r w:rsidRPr="00984931">
        <w:rPr>
          <w:rFonts w:cs="Times New Roman"/>
        </w:rPr>
        <w:t xml:space="preserve">, using coefficients of variation. Four previously </w:t>
      </w:r>
      <w:r w:rsidRPr="00984931">
        <w:rPr>
          <w:rFonts w:cs="Times New Roman"/>
        </w:rPr>
        <w:lastRenderedPageBreak/>
        <w:t>described</w:t>
      </w:r>
      <w:r>
        <w:rPr>
          <w:rFonts w:cs="Times New Roman"/>
        </w:rPr>
        <w:t xml:space="preserve"> </w:t>
      </w:r>
      <w:r>
        <w:rPr>
          <w:rFonts w:cs="Times New Roman"/>
        </w:rPr>
        <w:fldChar w:fldCharType="begin"/>
      </w:r>
      <w:r>
        <w:rPr>
          <w:rFonts w:cs="Times New Roman"/>
        </w:rPr>
        <w:instrText xml:space="preserve"> ADDIN EN.CITE &lt;EndNote&gt;&lt;Cite&gt;&lt;Author&gt;Evans&lt;/Author&gt;&lt;Year&gt;2009&lt;/Year&gt;&lt;RecNum&gt;54&lt;/RecNum&gt;&lt;DisplayText&gt;(20)&lt;/DisplayText&gt;&lt;record&gt;&lt;rec-number&gt;54&lt;/rec-number&gt;&lt;foreign-keys&gt;&lt;key app="EN" db-id="dwd2xezsmpwetue9aedxsz5rs9dazevswr2f" timestamp="1688141598"&gt;54&lt;/key&gt;&lt;/foreign-keys&gt;&lt;ref-type name="Journal Article"&gt;17&lt;/ref-type&gt;&lt;contributors&gt;&lt;authors&gt;&lt;author&gt;Evans, Anne M.&lt;/author&gt;&lt;author&gt;DeHaven, Corey D.&lt;/author&gt;&lt;author&gt;Barrett, Tom&lt;/author&gt;&lt;author&gt;Mitchell, Matt&lt;/author&gt;&lt;author&gt;Milgram, Eric&lt;/author&gt;&lt;/authors&gt;&lt;/contributors&gt;&lt;titles&gt;&lt;title&gt;Integrated, nontargeted ultrahigh performance liquid chromatography/ electrospray ionization tandem mass spectrometry platform for the identification and relative quantification of the small-molecule complement of biological systems&lt;/title&gt;&lt;secondary-title&gt;Analytical Chemistry&lt;/secondary-title&gt;&lt;/titles&gt;&lt;periodical&gt;&lt;full-title&gt;Analytical Chemistry&lt;/full-title&gt;&lt;/periodical&gt;&lt;pages&gt;6656-6667&lt;/pages&gt;&lt;volume&gt;81&lt;/volume&gt;&lt;number&gt;16&lt;/number&gt;&lt;dates&gt;&lt;year&gt;2009&lt;/year&gt;&lt;/dates&gt;&lt;urls&gt;&lt;/urls&gt;&lt;electronic-resource-num&gt;10.1021/ac901536h&lt;/electronic-resource-num&gt;&lt;/record&gt;&lt;/Cite&gt;&lt;/EndNote&gt;</w:instrText>
      </w:r>
      <w:r>
        <w:rPr>
          <w:rFonts w:cs="Times New Roman"/>
        </w:rPr>
        <w:fldChar w:fldCharType="separate"/>
      </w:r>
      <w:r>
        <w:rPr>
          <w:rFonts w:cs="Times New Roman"/>
          <w:noProof/>
        </w:rPr>
        <w:t>(20)</w:t>
      </w:r>
      <w:r>
        <w:rPr>
          <w:rFonts w:cs="Times New Roman"/>
        </w:rPr>
        <w:fldChar w:fldCharType="end"/>
      </w:r>
      <w:r w:rsidRPr="00984931">
        <w:rPr>
          <w:rFonts w:cs="Times New Roman"/>
        </w:rPr>
        <w:t xml:space="preserve"> liquid chromatography-tandem mass spectrometry (LC-MS/MS) methods were used to capture comprehensive metabolite classes, including: 1) amines and polar metabolites (positive ionization), 2) polar metabolites in central metabolism (negative ionization), 3) polar and nonpolar lipids, and 4) lipids and metabolites of intermediate polarity (including free fatty acids and bile acids). Instruments were calibrated each day for mass resolution and mass accuracy, and all materials were purchased from a single lot</w:t>
      </w:r>
      <w:r>
        <w:rPr>
          <w:rFonts w:cs="Times New Roman"/>
        </w:rPr>
        <w:t xml:space="preserve"> </w:t>
      </w:r>
      <w:r>
        <w:rPr>
          <w:rFonts w:cs="Times New Roman"/>
        </w:rPr>
        <w:fldChar w:fldCharType="begin"/>
      </w:r>
      <w:r>
        <w:rPr>
          <w:rFonts w:cs="Times New Roman"/>
        </w:rPr>
        <w:instrText xml:space="preserve"> ADDIN EN.CITE &lt;EndNote&gt;&lt;Cite&gt;&lt;Author&gt;Dehaven&lt;/Author&gt;&lt;Year&gt;2010&lt;/Year&gt;&lt;RecNum&gt;53&lt;/RecNum&gt;&lt;DisplayText&gt;(21)&lt;/DisplayText&gt;&lt;record&gt;&lt;rec-number&gt;53&lt;/rec-number&gt;&lt;foreign-keys&gt;&lt;key app="EN" db-id="dwd2xezsmpwetue9aedxsz5rs9dazevswr2f" timestamp="1688141598"&gt;53&lt;/key&gt;&lt;/foreign-keys&gt;&lt;ref-type name="Journal Article"&gt;17&lt;/ref-type&gt;&lt;contributors&gt;&lt;authors&gt;&lt;author&gt;Dehaven, Corey D.&lt;/author&gt;&lt;author&gt;Evans, Anne M.&lt;/author&gt;&lt;author&gt;Dai, Hongping&lt;/author&gt;&lt;author&gt;Lawton, Kay A.&lt;/author&gt;&lt;/authors&gt;&lt;/contributors&gt;&lt;titles&gt;&lt;title&gt;Organization of GC/MS and LC/MS metabolomics data into chemical libraries&lt;/title&gt;&lt;secondary-title&gt;Journal of Cheminformatics&lt;/secondary-title&gt;&lt;/titles&gt;&lt;periodical&gt;&lt;full-title&gt;Journal of Cheminformatics&lt;/full-title&gt;&lt;/periodical&gt;&lt;pages&gt;1-12&lt;/pages&gt;&lt;volume&gt;2&lt;/volume&gt;&lt;number&gt;1&lt;/number&gt;&lt;dates&gt;&lt;year&gt;2010&lt;/year&gt;&lt;/dates&gt;&lt;urls&gt;&lt;/urls&gt;&lt;electronic-resource-num&gt;10.1186/1758-2946-2-9&lt;/electronic-resource-num&gt;&lt;/record&gt;&lt;/Cite&gt;&lt;/EndNote&gt;</w:instrText>
      </w:r>
      <w:r>
        <w:rPr>
          <w:rFonts w:cs="Times New Roman"/>
        </w:rPr>
        <w:fldChar w:fldCharType="separate"/>
      </w:r>
      <w:r>
        <w:rPr>
          <w:rFonts w:cs="Times New Roman"/>
          <w:noProof/>
        </w:rPr>
        <w:t>(21)</w:t>
      </w:r>
      <w:r>
        <w:rPr>
          <w:rFonts w:cs="Times New Roman"/>
        </w:rPr>
        <w:fldChar w:fldCharType="end"/>
      </w:r>
      <w:r>
        <w:rPr>
          <w:rFonts w:cs="Times New Roman"/>
        </w:rPr>
        <w:t>.</w:t>
      </w:r>
    </w:p>
    <w:p w14:paraId="5CD28769" w14:textId="77777777" w:rsidR="00E55AC7" w:rsidRDefault="00E55AC7" w:rsidP="00E55AC7">
      <w:pPr>
        <w:spacing w:before="0" w:after="0" w:line="480" w:lineRule="auto"/>
        <w:ind w:firstLine="567"/>
        <w:rPr>
          <w:rFonts w:cs="Times New Roman"/>
        </w:rPr>
      </w:pPr>
      <w:r w:rsidRPr="00984931">
        <w:rPr>
          <w:rFonts w:cs="Times New Roman"/>
        </w:rPr>
        <w:t xml:space="preserve">Raw metabolite integrals were normalized to the median value (median value = 1) of each metabolite for a given run day. Metabolite identification was performed using automated comparison to features (including retention time, </w:t>
      </w:r>
      <w:r w:rsidRPr="00984931">
        <w:rPr>
          <w:rFonts w:cs="Times New Roman"/>
          <w:i/>
          <w:iCs/>
        </w:rPr>
        <w:t>m/</w:t>
      </w:r>
      <w:r w:rsidRPr="00984931">
        <w:rPr>
          <w:rFonts w:cs="Times New Roman"/>
        </w:rPr>
        <w:t>z, preferred adducts, in-source fragments, and mass spectra) of ~8</w:t>
      </w:r>
      <w:r>
        <w:rPr>
          <w:rFonts w:cs="Times New Roman"/>
        </w:rPr>
        <w:t>,</w:t>
      </w:r>
      <w:r w:rsidRPr="00984931">
        <w:rPr>
          <w:rFonts w:cs="Times New Roman"/>
        </w:rPr>
        <w:t>000 purified chemical standards in the Metabolon reference library</w:t>
      </w:r>
      <w:r>
        <w:rPr>
          <w:rFonts w:cs="Times New Roman"/>
        </w:rPr>
        <w:t xml:space="preserve"> </w:t>
      </w:r>
      <w:r>
        <w:rPr>
          <w:rFonts w:cs="Times New Roman"/>
        </w:rPr>
        <w:fldChar w:fldCharType="begin"/>
      </w:r>
      <w:r>
        <w:rPr>
          <w:rFonts w:cs="Times New Roman"/>
        </w:rPr>
        <w:instrText xml:space="preserve"> ADDIN EN.CITE &lt;EndNote&gt;&lt;Cite&gt;&lt;Author&gt;Dehaven&lt;/Author&gt;&lt;Year&gt;2010&lt;/Year&gt;&lt;RecNum&gt;53&lt;/RecNum&gt;&lt;DisplayText&gt;(21)&lt;/DisplayText&gt;&lt;record&gt;&lt;rec-number&gt;53&lt;/rec-number&gt;&lt;foreign-keys&gt;&lt;key app="EN" db-id="dwd2xezsmpwetue9aedxsz5rs9dazevswr2f" timestamp="1688141598"&gt;53&lt;/key&gt;&lt;/foreign-keys&gt;&lt;ref-type name="Journal Article"&gt;17&lt;/ref-type&gt;&lt;contributors&gt;&lt;authors&gt;&lt;author&gt;Dehaven, Corey D.&lt;/author&gt;&lt;author&gt;Evans, Anne M.&lt;/author&gt;&lt;author&gt;Dai, Hongping&lt;/author&gt;&lt;author&gt;Lawton, Kay A.&lt;/author&gt;&lt;/authors&gt;&lt;/contributors&gt;&lt;titles&gt;&lt;title&gt;Organization of GC/MS and LC/MS metabolomics data into chemical libraries&lt;/title&gt;&lt;secondary-title&gt;Journal of Cheminformatics&lt;/secondary-title&gt;&lt;/titles&gt;&lt;periodical&gt;&lt;full-title&gt;Journal of Cheminformatics&lt;/full-title&gt;&lt;/periodical&gt;&lt;pages&gt;1-12&lt;/pages&gt;&lt;volume&gt;2&lt;/volume&gt;&lt;number&gt;1&lt;/number&gt;&lt;dates&gt;&lt;year&gt;2010&lt;/year&gt;&lt;/dates&gt;&lt;urls&gt;&lt;/urls&gt;&lt;electronic-resource-num&gt;10.1186/1758-2946-2-9&lt;/electronic-resource-num&gt;&lt;/record&gt;&lt;/Cite&gt;&lt;/EndNote&gt;</w:instrText>
      </w:r>
      <w:r>
        <w:rPr>
          <w:rFonts w:cs="Times New Roman"/>
        </w:rPr>
        <w:fldChar w:fldCharType="separate"/>
      </w:r>
      <w:r>
        <w:rPr>
          <w:rFonts w:cs="Times New Roman"/>
          <w:noProof/>
        </w:rPr>
        <w:t>(21)</w:t>
      </w:r>
      <w:r>
        <w:rPr>
          <w:rFonts w:cs="Times New Roman"/>
        </w:rPr>
        <w:fldChar w:fldCharType="end"/>
      </w:r>
      <w:r>
        <w:rPr>
          <w:rFonts w:cs="Times New Roman"/>
        </w:rPr>
        <w:t>.</w:t>
      </w:r>
      <w:r w:rsidRPr="00984931">
        <w:rPr>
          <w:rFonts w:cs="Times New Roman"/>
        </w:rPr>
        <w:t xml:space="preserve"> Metabolites that remained unknown</w:t>
      </w:r>
      <w:r>
        <w:rPr>
          <w:rFonts w:cs="Times New Roman"/>
        </w:rPr>
        <w:t>, but are reproducibly captured,</w:t>
      </w:r>
      <w:r w:rsidRPr="00984931">
        <w:rPr>
          <w:rFonts w:cs="Times New Roman"/>
        </w:rPr>
        <w:t xml:space="preserve"> after comparison with standards were annotated </w:t>
      </w:r>
      <w:r>
        <w:rPr>
          <w:rFonts w:cs="Times New Roman"/>
        </w:rPr>
        <w:t>with a unique and persistent</w:t>
      </w:r>
      <w:r w:rsidRPr="00984931">
        <w:rPr>
          <w:rFonts w:cs="Times New Roman"/>
        </w:rPr>
        <w:t xml:space="preserve"> “X-number” for potential future identification. </w:t>
      </w:r>
    </w:p>
    <w:p w14:paraId="13A1A170" w14:textId="77777777" w:rsidR="00E55AC7" w:rsidRDefault="00E55AC7" w:rsidP="00E55AC7">
      <w:pPr>
        <w:spacing w:before="0" w:after="0" w:line="480" w:lineRule="auto"/>
        <w:ind w:firstLine="567"/>
        <w:rPr>
          <w:rFonts w:cs="Times New Roman"/>
        </w:rPr>
      </w:pPr>
      <w:r>
        <w:rPr>
          <w:rFonts w:cs="Times New Roman"/>
        </w:rPr>
        <w:t>Abundances</w:t>
      </w:r>
      <w:r w:rsidRPr="2580F5B4">
        <w:rPr>
          <w:rFonts w:cs="Times New Roman"/>
        </w:rPr>
        <w:t xml:space="preserve"> for a total of 1,546</w:t>
      </w:r>
      <w:r>
        <w:rPr>
          <w:rFonts w:cs="Times New Roman"/>
        </w:rPr>
        <w:t xml:space="preserve"> grouped and aligned</w:t>
      </w:r>
      <w:r w:rsidRPr="2580F5B4">
        <w:rPr>
          <w:rFonts w:cs="Times New Roman"/>
        </w:rPr>
        <w:t xml:space="preserve"> metabolites were reported by the Metabolon platform. Metabolites annotated </w:t>
      </w:r>
      <w:r>
        <w:rPr>
          <w:rFonts w:eastAsia="Times New Roman" w:cs="Times New Roman"/>
        </w:rPr>
        <w:t xml:space="preserve">as </w:t>
      </w:r>
      <w:sdt>
        <w:sdtPr>
          <w:tag w:val="goog_rdk_114"/>
          <w:id w:val="-2098866003"/>
        </w:sdtPr>
        <w:sdtContent/>
      </w:sdt>
      <w:r>
        <w:rPr>
          <w:rFonts w:eastAsia="Times New Roman" w:cs="Times New Roman"/>
        </w:rPr>
        <w:t xml:space="preserve">xenobiotics </w:t>
      </w:r>
      <w:r w:rsidRPr="2580F5B4">
        <w:rPr>
          <w:rFonts w:cs="Times New Roman"/>
        </w:rPr>
        <w:t xml:space="preserve">and with ≥ 75% missing values were removed, yielding 1,108 metabolites in the final dataset. Remaining missing values were imputed as the half-minimum intensity for a given metabolite. Metabolite intensities were log-transformed and </w:t>
      </w:r>
      <w:r w:rsidRPr="2580F5B4">
        <w:rPr>
          <w:rFonts w:cs="Times New Roman"/>
          <w:i/>
          <w:iCs/>
        </w:rPr>
        <w:t>pareto</w:t>
      </w:r>
      <w:r w:rsidRPr="2580F5B4">
        <w:rPr>
          <w:rFonts w:cs="Times New Roman"/>
        </w:rPr>
        <w:t xml:space="preserve">-scaled for use in regression models.  </w:t>
      </w:r>
    </w:p>
    <w:p w14:paraId="3ABAF472" w14:textId="77777777" w:rsidR="00E55AC7" w:rsidRPr="00984931" w:rsidRDefault="00E55AC7" w:rsidP="00E55AC7">
      <w:pPr>
        <w:pStyle w:val="Heading2"/>
        <w:numPr>
          <w:ilvl w:val="0"/>
          <w:numId w:val="4"/>
        </w:numPr>
        <w:spacing w:before="0" w:after="0" w:line="480" w:lineRule="auto"/>
      </w:pPr>
      <w:r w:rsidRPr="2580F5B4">
        <w:t>Statistical Models</w:t>
      </w:r>
    </w:p>
    <w:p w14:paraId="31407A14" w14:textId="77777777" w:rsidR="00E55AC7" w:rsidRPr="00984931" w:rsidRDefault="00E55AC7" w:rsidP="00E55AC7">
      <w:pPr>
        <w:spacing w:before="0" w:after="0" w:line="480" w:lineRule="auto"/>
        <w:ind w:firstLine="567"/>
        <w:rPr>
          <w:rFonts w:cs="Times New Roman"/>
        </w:rPr>
      </w:pPr>
      <w:r>
        <w:rPr>
          <w:rFonts w:eastAsia="Times New Roman" w:cs="Times New Roman"/>
        </w:rPr>
        <w:t xml:space="preserve">Regression models were applied to assess associations between metabolite levels and (1) </w:t>
      </w:r>
      <w:sdt>
        <w:sdtPr>
          <w:tag w:val="goog_rdk_118"/>
          <w:id w:val="-1492708829"/>
        </w:sdtPr>
        <w:sdtContent/>
      </w:sdt>
      <w:sdt>
        <w:sdtPr>
          <w:tag w:val="goog_rdk_119"/>
          <w:id w:val="617799637"/>
        </w:sdtPr>
        <w:sdtContent/>
      </w:sdt>
      <w:r>
        <w:rPr>
          <w:rFonts w:eastAsia="Times New Roman" w:cs="Times New Roman"/>
        </w:rPr>
        <w:t xml:space="preserve">COVID-19 severity, where samples were stratified by sample collection time point, and (2) time of sample collection (e.g., pre-, during-, post-COVID-19).  </w:t>
      </w:r>
      <w:r w:rsidRPr="2580F5B4">
        <w:rPr>
          <w:rFonts w:cs="Times New Roman"/>
        </w:rPr>
        <w:t>Models were adjusted for demographic</w:t>
      </w:r>
      <w:r>
        <w:rPr>
          <w:rFonts w:cs="Times New Roman"/>
        </w:rPr>
        <w:t>s (age, race, ethnicity, sex), risk factors (BMI, smoking status), and comorbidities</w:t>
      </w:r>
      <w:r w:rsidRPr="2580F5B4">
        <w:rPr>
          <w:rFonts w:cs="Times New Roman"/>
        </w:rPr>
        <w:t xml:space="preserve"> </w:t>
      </w:r>
      <w:r>
        <w:rPr>
          <w:rFonts w:cs="Times New Roman"/>
        </w:rPr>
        <w:lastRenderedPageBreak/>
        <w:t>(</w:t>
      </w:r>
      <w:proofErr w:type="spellStart"/>
      <w:r>
        <w:rPr>
          <w:rFonts w:cs="Times New Roman"/>
        </w:rPr>
        <w:t>Charlson</w:t>
      </w:r>
      <w:proofErr w:type="spellEnd"/>
      <w:r>
        <w:rPr>
          <w:rFonts w:cs="Times New Roman"/>
        </w:rPr>
        <w:t xml:space="preserve"> Index category).  R</w:t>
      </w:r>
      <w:r w:rsidRPr="2580F5B4">
        <w:rPr>
          <w:rFonts w:cs="Times New Roman"/>
        </w:rPr>
        <w:t>elevant c</w:t>
      </w:r>
      <w:r>
        <w:rPr>
          <w:rFonts w:cs="Times New Roman"/>
        </w:rPr>
        <w:t>o</w:t>
      </w:r>
      <w:r w:rsidRPr="2580F5B4">
        <w:rPr>
          <w:rFonts w:cs="Times New Roman"/>
        </w:rPr>
        <w:t>efficient p-values were adjusted for multiple comparisons using false discovery rates</w:t>
      </w:r>
      <w:r>
        <w:rPr>
          <w:rFonts w:cs="Times New Roman"/>
        </w:rPr>
        <w:t xml:space="preserve"> </w:t>
      </w:r>
      <w:r>
        <w:rPr>
          <w:rFonts w:cs="Times New Roman"/>
        </w:rPr>
        <w:fldChar w:fldCharType="begin"/>
      </w:r>
      <w:r>
        <w:rPr>
          <w:rFonts w:cs="Times New Roman"/>
        </w:rPr>
        <w:instrText xml:space="preserve"> ADDIN EN.CITE &lt;EndNote&gt;&lt;Cite&gt;&lt;Author&gt;Benjamini&lt;/Author&gt;&lt;Year&gt;1995&lt;/Year&gt;&lt;RecNum&gt;56&lt;/RecNum&gt;&lt;DisplayText&gt;(22)&lt;/DisplayText&gt;&lt;record&gt;&lt;rec-number&gt;56&lt;/rec-number&gt;&lt;foreign-keys&gt;&lt;key app="EN" db-id="dwd2xezsmpwetue9aedxsz5rs9dazevswr2f" timestamp="1688141598"&gt;56&lt;/key&gt;&lt;/foreign-keys&gt;&lt;ref-type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(Methodological)&lt;/full-title&gt;&lt;/periodical&gt;&lt;pages&gt;289-300&lt;/pages&gt;&lt;volume&gt;57&lt;/volume&gt;&lt;number&gt;1&lt;/number&gt;&lt;dates&gt;&lt;year&gt;1995&lt;/year&gt;&lt;/dates&gt;&lt;urls&gt;&lt;/urls&gt;&lt;/record&gt;&lt;/Cite&gt;&lt;/EndNote&gt;</w:instrText>
      </w:r>
      <w:r>
        <w:rPr>
          <w:rFonts w:cs="Times New Roman"/>
        </w:rPr>
        <w:fldChar w:fldCharType="separate"/>
      </w:r>
      <w:r>
        <w:rPr>
          <w:rFonts w:cs="Times New Roman"/>
          <w:noProof/>
        </w:rPr>
        <w:t>(22)</w:t>
      </w:r>
      <w:r>
        <w:rPr>
          <w:rFonts w:cs="Times New Roman"/>
        </w:rPr>
        <w:fldChar w:fldCharType="end"/>
      </w:r>
      <w:r>
        <w:rPr>
          <w:rFonts w:cs="Times New Roman"/>
        </w:rPr>
        <w:t xml:space="preserve"> </w:t>
      </w:r>
      <w:r w:rsidRPr="2580F5B4">
        <w:rPr>
          <w:rFonts w:cs="Times New Roman"/>
        </w:rPr>
        <w:t xml:space="preserve">and FDR adjusted p-values </w:t>
      </w:r>
      <w:r>
        <w:rPr>
          <w:rFonts w:cs="Times New Roman"/>
        </w:rPr>
        <w:t>&lt;</w:t>
      </w:r>
      <w:r w:rsidRPr="2580F5B4">
        <w:rPr>
          <w:rFonts w:cs="Times New Roman"/>
        </w:rPr>
        <w:t xml:space="preserve"> 0.05 were </w:t>
      </w:r>
      <w:r>
        <w:rPr>
          <w:rFonts w:cs="Times New Roman"/>
        </w:rPr>
        <w:t>considered</w:t>
      </w:r>
      <w:r w:rsidRPr="2580F5B4">
        <w:rPr>
          <w:rFonts w:cs="Times New Roman"/>
        </w:rPr>
        <w:t xml:space="preserve"> statistical</w:t>
      </w:r>
      <w:r>
        <w:rPr>
          <w:rFonts w:cs="Times New Roman"/>
        </w:rPr>
        <w:t>ly</w:t>
      </w:r>
      <w:r w:rsidRPr="2580F5B4">
        <w:rPr>
          <w:rFonts w:cs="Times New Roman"/>
        </w:rPr>
        <w:t xml:space="preserve"> significan</w:t>
      </w:r>
      <w:r>
        <w:rPr>
          <w:rFonts w:cs="Times New Roman"/>
        </w:rPr>
        <w:t>t</w:t>
      </w:r>
      <w:r w:rsidRPr="2580F5B4">
        <w:rPr>
          <w:rFonts w:cs="Times New Roman"/>
        </w:rPr>
        <w:t xml:space="preserve">.  </w:t>
      </w:r>
    </w:p>
    <w:p w14:paraId="119821BE" w14:textId="77777777" w:rsidR="00E55AC7" w:rsidRDefault="00E55AC7" w:rsidP="00E55AC7">
      <w:pPr>
        <w:spacing w:before="0" w:after="0" w:line="480" w:lineRule="auto"/>
        <w:ind w:firstLine="567"/>
        <w:rPr>
          <w:rFonts w:cs="Times New Roman"/>
        </w:rPr>
      </w:pPr>
      <w:r>
        <w:rPr>
          <w:rFonts w:cs="Times New Roman"/>
          <w:b/>
          <w:bCs/>
        </w:rPr>
        <w:t>Equation 1</w:t>
      </w:r>
      <w:r>
        <w:rPr>
          <w:rFonts w:cs="Times New Roman"/>
        </w:rPr>
        <w:t xml:space="preserve"> was used to determine metabolite associations with severity, stratified by pre-, during, and post-COVID-19 samples:</w:t>
      </w:r>
    </w:p>
    <w:p w14:paraId="14532CA6" w14:textId="77777777" w:rsidR="00E55AC7" w:rsidRPr="00C0271C" w:rsidRDefault="00E55AC7" w:rsidP="00E55AC7">
      <w:pPr>
        <w:spacing w:before="0" w:after="0" w:line="480" w:lineRule="auto"/>
        <w:rPr>
          <w:rFonts w:ascii="Cambria Math" w:hAnsi="Cambria Math" w:cs="Times New Roman"/>
          <w:iCs/>
        </w:rPr>
      </w:pPr>
      <m:oMath>
        <m:func>
          <m:funcPr>
            <m:ctrlPr>
              <w:rPr>
                <w:rFonts w:ascii="Cambria Math" w:hAnsi="Cambria Math" w:cs="Times New Roman"/>
                <w:b/>
                <w:bCs/>
              </w:rPr>
            </m:ctrlPr>
          </m:funcPr>
          <m:fName>
            <m:r>
              <m:rPr>
                <m:sty m:val="b"/>
              </m:rPr>
              <w:rPr>
                <w:rFonts w:ascii="Cambria Math" w:hAnsi="Cambria Math" w:cs="Times New Roman"/>
              </w:rPr>
              <m:t>log</m:t>
            </m:r>
          </m:fName>
          <m:e>
            <m:d>
              <m:dPr>
                <m:ctrlPr>
                  <w:rPr>
                    <w:rFonts w:ascii="Cambria Math" w:hAnsi="Cambria Math" w:cs="Times New Roman"/>
                    <w:b/>
                    <w:bCs/>
                  </w:rPr>
                </m:ctrlPr>
              </m:dPr>
              <m:e>
                <m:f>
                  <m:fPr>
                    <m:ctrlPr>
                      <w:rPr>
                        <w:rFonts w:ascii="Cambria Math" w:hAnsi="Cambria Math" w:cs="Times New Roman"/>
                        <w:b/>
                        <w:bCs/>
                      </w:rPr>
                    </m:ctrlPr>
                  </m:fPr>
                  <m:num>
                    <m:func>
                      <m:funcPr>
                        <m:ctrlPr>
                          <w:rPr>
                            <w:rFonts w:ascii="Cambria Math" w:hAnsi="Cambria Math" w:cs="Times New Roman"/>
                            <w:b/>
                            <w:bCs/>
                          </w:rPr>
                        </m:ctrlPr>
                      </m:funcPr>
                      <m:fName>
                        <m:r>
                          <m:rPr>
                            <m:sty m:val="b"/>
                          </m:rPr>
                          <w:rPr>
                            <w:rFonts w:ascii="Cambria Math" w:hAnsi="Cambria Math" w:cs="Times New Roman"/>
                          </w:rPr>
                          <m:t>Pr</m:t>
                        </m:r>
                      </m:fName>
                      <m:e>
                        <m:d>
                          <m:dPr>
                            <m:ctrlPr>
                              <w:rPr>
                                <w:rFonts w:ascii="Cambria Math" w:hAnsi="Cambria Math" w:cs="Times New Roman"/>
                                <w:b/>
                                <w:bCs/>
                              </w:rPr>
                            </m:ctrlPr>
                          </m:dPr>
                          <m:e>
                            <m:r>
                              <m:rPr>
                                <m:sty m:val="b"/>
                              </m:rPr>
                              <w:rPr>
                                <w:rFonts w:ascii="Cambria Math" w:hAnsi="Cambria Math" w:cs="Times New Roman"/>
                              </w:rPr>
                              <m:t>Y≤j</m:t>
                            </m:r>
                          </m:e>
                        </m:d>
                      </m:e>
                    </m:func>
                  </m:num>
                  <m:den>
                    <m:r>
                      <m:rPr>
                        <m:sty m:val="b"/>
                      </m:rPr>
                      <w:rPr>
                        <w:rFonts w:ascii="Cambria Math" w:hAnsi="Cambria Math" w:cs="Times New Roman"/>
                      </w:rPr>
                      <m:t>1-</m:t>
                    </m:r>
                    <m:func>
                      <m:funcPr>
                        <m:ctrlPr>
                          <w:rPr>
                            <w:rFonts w:ascii="Cambria Math" w:hAnsi="Cambria Math" w:cs="Times New Roman"/>
                            <w:b/>
                            <w:bCs/>
                          </w:rPr>
                        </m:ctrlPr>
                      </m:funcPr>
                      <m:fName>
                        <m:r>
                          <m:rPr>
                            <m:sty m:val="b"/>
                          </m:rPr>
                          <w:rPr>
                            <w:rFonts w:ascii="Cambria Math" w:hAnsi="Cambria Math" w:cs="Times New Roman"/>
                          </w:rPr>
                          <m:t>Pr</m:t>
                        </m:r>
                      </m:fName>
                      <m:e>
                        <m:d>
                          <m:dPr>
                            <m:ctrlPr>
                              <w:rPr>
                                <w:rFonts w:ascii="Cambria Math" w:hAnsi="Cambria Math" w:cs="Times New Roman"/>
                                <w:b/>
                                <w:bCs/>
                              </w:rPr>
                            </m:ctrlPr>
                          </m:dPr>
                          <m:e>
                            <m:r>
                              <m:rPr>
                                <m:sty m:val="b"/>
                              </m:rPr>
                              <w:rPr>
                                <w:rFonts w:ascii="Cambria Math" w:hAnsi="Cambria Math" w:cs="Times New Roman"/>
                              </w:rPr>
                              <m:t>Y≤j</m:t>
                            </m:r>
                          </m:e>
                        </m:d>
                      </m:e>
                    </m:func>
                  </m:den>
                </m:f>
              </m:e>
            </m:d>
          </m:e>
        </m:func>
        <m:r>
          <m:rPr>
            <m:sty m:val="b"/>
          </m:rPr>
          <w:rPr>
            <w:rFonts w:ascii="Cambria Math" w:hAnsi="Cambria Math" w:cs="Times New Roman"/>
          </w:rPr>
          <m:t>=</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0</m:t>
            </m:r>
          </m:sub>
        </m:sSub>
        <m:r>
          <m:rPr>
            <m:sty m:val="b"/>
          </m:rPr>
          <w:rPr>
            <w:rFonts w:ascii="Cambria Math" w:hAnsi="Cambria Math" w:cs="Times New Roman"/>
          </w:rPr>
          <m:t>+ </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1</m:t>
            </m:r>
          </m:sub>
        </m:sSub>
        <m:r>
          <m:rPr>
            <m:sty m:val="b"/>
          </m:rPr>
          <w:rPr>
            <w:rFonts w:ascii="Cambria Math" w:hAnsi="Cambria Math" w:cs="Times New Roman"/>
          </w:rPr>
          <m:t>metabolite+</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2</m:t>
            </m:r>
          </m:sub>
        </m:sSub>
        <m:r>
          <m:rPr>
            <m:sty m:val="b"/>
          </m:rPr>
          <w:rPr>
            <w:rFonts w:ascii="Cambria Math" w:hAnsi="Cambria Math" w:cs="Times New Roman"/>
          </w:rPr>
          <m:t>age+</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3</m:t>
            </m:r>
          </m:sub>
        </m:sSub>
        <m:r>
          <m:rPr>
            <m:sty m:val="b"/>
          </m:rPr>
          <w:rPr>
            <w:rFonts w:ascii="Cambria Math" w:hAnsi="Cambria Math" w:cs="Times New Roman"/>
          </w:rPr>
          <m:t>race+</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4</m:t>
            </m:r>
          </m:sub>
        </m:sSub>
        <m:r>
          <m:rPr>
            <m:sty m:val="b"/>
          </m:rPr>
          <w:rPr>
            <w:rFonts w:ascii="Cambria Math" w:hAnsi="Cambria Math" w:cs="Times New Roman"/>
          </w:rPr>
          <m:t>ethnicity+</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5</m:t>
            </m:r>
          </m:sub>
        </m:sSub>
        <m:r>
          <m:rPr>
            <m:sty m:val="b"/>
          </m:rPr>
          <w:rPr>
            <w:rFonts w:ascii="Cambria Math" w:hAnsi="Cambria Math" w:cs="Times New Roman"/>
          </w:rPr>
          <m:t>sex+</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6</m:t>
            </m:r>
          </m:sub>
        </m:sSub>
        <m:r>
          <m:rPr>
            <m:sty m:val="b"/>
          </m:rPr>
          <w:rPr>
            <w:rFonts w:ascii="Cambria Math" w:hAnsi="Cambria Math" w:cs="Times New Roman"/>
          </w:rPr>
          <m:t>BMI</m:t>
        </m:r>
        <m:sSub>
          <m:sSubPr>
            <m:ctrlPr>
              <w:rPr>
                <w:rFonts w:ascii="Cambria Math" w:hAnsi="Cambria Math" w:cs="Times New Roman"/>
                <w:b/>
                <w:bCs/>
              </w:rPr>
            </m:ctrlPr>
          </m:sSubPr>
          <m:e>
            <m:r>
              <m:rPr>
                <m:sty m:val="b"/>
              </m:rPr>
              <w:rPr>
                <w:rFonts w:ascii="Cambria Math" w:hAnsi="Cambria Math" w:cs="Times New Roman"/>
              </w:rPr>
              <m:t>+ β</m:t>
            </m:r>
          </m:e>
          <m:sub>
            <m:r>
              <m:rPr>
                <m:sty m:val="b"/>
              </m:rPr>
              <w:rPr>
                <w:rFonts w:ascii="Cambria Math" w:hAnsi="Cambria Math" w:cs="Times New Roman"/>
              </w:rPr>
              <m:t>7</m:t>
            </m:r>
          </m:sub>
        </m:sSub>
        <m:r>
          <m:rPr>
            <m:sty m:val="b"/>
          </m:rPr>
          <w:rPr>
            <w:rFonts w:ascii="Cambria Math" w:hAnsi="Cambria Math" w:cs="Times New Roman"/>
          </w:rPr>
          <m:t>smoking+</m:t>
        </m:r>
        <m:sSub>
          <m:sSubPr>
            <m:ctrlPr>
              <w:rPr>
                <w:rFonts w:ascii="Cambria Math" w:hAnsi="Cambria Math" w:cs="Times New Roman"/>
                <w:b/>
                <w:bCs/>
              </w:rPr>
            </m:ctrlPr>
          </m:sSubPr>
          <m:e>
            <m:r>
              <m:rPr>
                <m:sty m:val="b"/>
              </m:rPr>
              <w:rPr>
                <w:rFonts w:ascii="Cambria Math" w:hAnsi="Cambria Math" w:cs="Times New Roman"/>
              </w:rPr>
              <m:t>β</m:t>
            </m:r>
          </m:e>
          <m:sub>
            <m:r>
              <m:rPr>
                <m:sty m:val="b"/>
              </m:rPr>
              <w:rPr>
                <w:rFonts w:ascii="Cambria Math" w:hAnsi="Cambria Math" w:cs="Times New Roman"/>
              </w:rPr>
              <m:t>8</m:t>
            </m:r>
          </m:sub>
        </m:sSub>
        <m:r>
          <m:rPr>
            <m:sty m:val="b"/>
          </m:rPr>
          <w:rPr>
            <w:rFonts w:ascii="Cambria Math" w:hAnsi="Cambria Math" w:cs="Times New Roman"/>
          </w:rPr>
          <m:t>comorbidity level</m:t>
        </m:r>
      </m:oMath>
      <w:r w:rsidRPr="00CD41B3">
        <w:rPr>
          <w:rFonts w:ascii="Cambria Math" w:hAnsi="Cambria Math" w:cs="Times New Roman"/>
          <w:i/>
        </w:rPr>
        <w:t xml:space="preserve"> </w:t>
      </w:r>
      <w:r>
        <w:rPr>
          <w:rFonts w:ascii="Cambria Math" w:hAnsi="Cambria Math" w:cs="Times New Roman"/>
          <w:iCs/>
        </w:rPr>
        <w:t>[</w:t>
      </w:r>
      <w:r>
        <w:rPr>
          <w:rFonts w:ascii="Cambria Math" w:hAnsi="Cambria Math" w:cs="Times New Roman"/>
          <w:b/>
          <w:bCs/>
          <w:iCs/>
        </w:rPr>
        <w:t>Equation 1</w:t>
      </w:r>
      <w:r>
        <w:rPr>
          <w:rFonts w:ascii="Cambria Math" w:hAnsi="Cambria Math" w:cs="Times New Roman"/>
          <w:iCs/>
        </w:rPr>
        <w:t>]</w:t>
      </w:r>
    </w:p>
    <w:p w14:paraId="55E49FBD" w14:textId="77777777" w:rsidR="00E55AC7" w:rsidRPr="00E048DC" w:rsidRDefault="00E55AC7" w:rsidP="00E55AC7">
      <w:pPr>
        <w:spacing w:before="0" w:after="0" w:line="480" w:lineRule="auto"/>
        <w:rPr>
          <w:rFonts w:cs="Times New Roman"/>
        </w:rPr>
      </w:pPr>
      <w:r w:rsidRPr="00F91F9F">
        <w:rPr>
          <w:rFonts w:cs="Times New Roman"/>
        </w:rPr>
        <w:t xml:space="preserve">where </w:t>
      </w:r>
      <w:r w:rsidRPr="00F91F9F">
        <w:rPr>
          <w:rFonts w:cs="Times New Roman"/>
          <w:i/>
          <w:iCs/>
        </w:rPr>
        <w:t>j</w:t>
      </w:r>
      <w:r w:rsidRPr="00F91F9F">
        <w:rPr>
          <w:rFonts w:cs="Times New Roman"/>
        </w:rPr>
        <w:t xml:space="preserve"> is </w:t>
      </w:r>
      <w:r>
        <w:rPr>
          <w:rFonts w:cs="Times New Roman"/>
        </w:rPr>
        <w:t xml:space="preserve">the </w:t>
      </w:r>
      <w:r w:rsidRPr="00F91F9F">
        <w:rPr>
          <w:rFonts w:cs="Times New Roman"/>
        </w:rPr>
        <w:t>ordinal COVID-19 severity (levels 0-3</w:t>
      </w:r>
      <w:proofErr w:type="gramStart"/>
      <w:r w:rsidRPr="00F91F9F">
        <w:rPr>
          <w:rFonts w:cs="Times New Roman"/>
        </w:rPr>
        <w:t>)</w:t>
      </w:r>
      <w:proofErr w:type="gramEnd"/>
      <w:r>
        <w:rPr>
          <w:rFonts w:cs="Times New Roman"/>
        </w:rPr>
        <w:t xml:space="preserve"> and</w:t>
      </w:r>
      <w:r w:rsidRPr="00F91F9F">
        <w:rPr>
          <w:rFonts w:cs="Times New Roman"/>
        </w:rPr>
        <w:t xml:space="preserve"> </w:t>
      </w:r>
      <w:r w:rsidRPr="00F91F9F">
        <w:rPr>
          <w:rFonts w:cs="Times New Roman"/>
          <w:i/>
          <w:iCs/>
        </w:rPr>
        <w:t>metabolite</w:t>
      </w:r>
      <w:r w:rsidRPr="00F91F9F">
        <w:rPr>
          <w:rFonts w:cs="Times New Roman"/>
        </w:rPr>
        <w:t xml:space="preserve"> is normalized and scaled relative metabolite abundance.</w:t>
      </w:r>
      <w:r w:rsidRPr="00E048DC">
        <w:rPr>
          <w:rFonts w:cs="Times New Roman"/>
        </w:rPr>
        <w:t xml:space="preserve"> Modeling was performed using the </w:t>
      </w:r>
      <w:proofErr w:type="spellStart"/>
      <w:r w:rsidRPr="00E048DC">
        <w:rPr>
          <w:rFonts w:cs="Times New Roman"/>
          <w:i/>
          <w:iCs/>
        </w:rPr>
        <w:t>polr</w:t>
      </w:r>
      <w:proofErr w:type="spellEnd"/>
      <w:r w:rsidRPr="00E048DC">
        <w:rPr>
          <w:rFonts w:cs="Times New Roman"/>
        </w:rPr>
        <w:t>() function of the MASS R package (version 7.3-55)</w:t>
      </w:r>
      <w:r>
        <w:rPr>
          <w:rFonts w:cs="Times New Roman"/>
        </w:rPr>
        <w:t xml:space="preserve"> </w:t>
      </w:r>
      <w:r>
        <w:rPr>
          <w:rFonts w:cs="Times New Roman"/>
        </w:rPr>
        <w:fldChar w:fldCharType="begin"/>
      </w:r>
      <w:r>
        <w:rPr>
          <w:rFonts w:cs="Times New Roman"/>
        </w:rPr>
        <w:instrText xml:space="preserve"> ADDIN EN.CITE &lt;EndNote&gt;&lt;Cite&gt;&lt;Author&gt;Venables&lt;/Author&gt;&lt;Year&gt;2002&lt;/Year&gt;&lt;RecNum&gt;57&lt;/RecNum&gt;&lt;DisplayText&gt;(23)&lt;/DisplayText&gt;&lt;record&gt;&lt;rec-number&gt;57&lt;/rec-number&gt;&lt;foreign-keys&gt;&lt;key app="EN" db-id="dwd2xezsmpwetue9aedxsz5rs9dazevswr2f" timestamp="1688141598"&gt;57&lt;/key&gt;&lt;/foreign-keys&gt;&lt;ref-type name="Book"&gt;6&lt;/ref-type&gt;&lt;contributors&gt;&lt;authors&gt;&lt;author&gt;Venables, W. N.&lt;/author&gt;&lt;author&gt;Ripley, B. D.&lt;/author&gt;&lt;/authors&gt;&lt;/contributors&gt;&lt;titles&gt;&lt;title&gt;Modern Applied Statistics with S&lt;/title&gt;&lt;/titles&gt;&lt;edition&gt;Fourth Edi&lt;/edition&gt;&lt;dates&gt;&lt;year&gt;2002&lt;/year&gt;&lt;/dates&gt;&lt;pub-location&gt;New York&lt;/pub-location&gt;&lt;publisher&gt;Springer&lt;/publisher&gt;&lt;isbn&gt;0-387-95457-0&lt;/isbn&gt;&lt;urls&gt;&lt;related-urls&gt;&lt;url&gt;https://www.stats.ox.ac.uk/pub/MASS4/&lt;/url&gt;&lt;/related-urls&gt;&lt;/urls&gt;&lt;/record&gt;&lt;/Cite&gt;&lt;/EndNote&gt;</w:instrText>
      </w:r>
      <w:r>
        <w:rPr>
          <w:rFonts w:cs="Times New Roman"/>
        </w:rPr>
        <w:fldChar w:fldCharType="separate"/>
      </w:r>
      <w:r>
        <w:rPr>
          <w:rFonts w:cs="Times New Roman"/>
          <w:noProof/>
        </w:rPr>
        <w:t>(23)</w:t>
      </w:r>
      <w:r>
        <w:rPr>
          <w:rFonts w:cs="Times New Roman"/>
        </w:rPr>
        <w:fldChar w:fldCharType="end"/>
      </w:r>
      <w:r>
        <w:rPr>
          <w:rFonts w:cs="Times New Roman"/>
        </w:rPr>
        <w:t>.</w:t>
      </w:r>
      <w:r w:rsidRPr="00E048DC">
        <w:rPr>
          <w:rFonts w:cs="Times New Roman"/>
        </w:rPr>
        <w:t xml:space="preserve"> From these models, we determined three sets of interest: </w:t>
      </w:r>
      <w:r w:rsidRPr="00A77B4F">
        <w:rPr>
          <w:rFonts w:cs="Times New Roman"/>
        </w:rPr>
        <w:t xml:space="preserve">(1) </w:t>
      </w:r>
      <w:r w:rsidRPr="00C50D9E">
        <w:rPr>
          <w:rFonts w:cs="Times New Roman"/>
          <w:b/>
          <w:bCs/>
        </w:rPr>
        <w:t>predisposition metabolites</w:t>
      </w:r>
      <w:r w:rsidRPr="00A77B4F">
        <w:rPr>
          <w:rFonts w:cs="Times New Roman"/>
        </w:rPr>
        <w:t>, significantly associated with severity in pre-COVID-19 samples</w:t>
      </w:r>
      <w:r>
        <w:rPr>
          <w:rFonts w:cs="Times New Roman"/>
        </w:rPr>
        <w:t xml:space="preserve"> only</w:t>
      </w:r>
      <w:r w:rsidRPr="00A77B4F">
        <w:rPr>
          <w:rFonts w:cs="Times New Roman"/>
        </w:rPr>
        <w:t xml:space="preserve">; (2) </w:t>
      </w:r>
      <w:r w:rsidRPr="00C50D9E">
        <w:rPr>
          <w:rFonts w:cs="Times New Roman"/>
          <w:b/>
          <w:bCs/>
        </w:rPr>
        <w:t>predisposition-and-acute metabolites</w:t>
      </w:r>
      <w:r w:rsidRPr="00A77B4F">
        <w:rPr>
          <w:rFonts w:cs="Times New Roman"/>
        </w:rPr>
        <w:t xml:space="preserve">, significantly associated with severity in the same direction in pre- and during COVID-19 samples; and (3) </w:t>
      </w:r>
      <w:r w:rsidRPr="00C50D9E">
        <w:rPr>
          <w:rFonts w:cs="Times New Roman"/>
          <w:b/>
          <w:bCs/>
        </w:rPr>
        <w:t>persistent metabolites</w:t>
      </w:r>
      <w:r w:rsidRPr="00A77B4F">
        <w:rPr>
          <w:rFonts w:cs="Times New Roman"/>
        </w:rPr>
        <w:t>, significantly associated with severity in the same direction across all time</w:t>
      </w:r>
      <w:r>
        <w:rPr>
          <w:rFonts w:cs="Times New Roman"/>
        </w:rPr>
        <w:t>s of sample collection</w:t>
      </w:r>
      <w:r w:rsidRPr="00A77B4F">
        <w:rPr>
          <w:rFonts w:cs="Times New Roman"/>
        </w:rPr>
        <w:t>.</w:t>
      </w:r>
    </w:p>
    <w:p w14:paraId="3ED101C8" w14:textId="77777777" w:rsidR="00E55AC7" w:rsidRDefault="00E55AC7" w:rsidP="00E55AC7">
      <w:pPr>
        <w:spacing w:before="0" w:after="0" w:line="480" w:lineRule="auto"/>
        <w:ind w:firstLine="720"/>
        <w:rPr>
          <w:rFonts w:cs="Times New Roman"/>
        </w:rPr>
      </w:pPr>
      <w:r w:rsidRPr="00E048DC">
        <w:rPr>
          <w:rFonts w:cs="Times New Roman"/>
          <w:b/>
          <w:bCs/>
        </w:rPr>
        <w:t xml:space="preserve">Equation 2 </w:t>
      </w:r>
      <w:r w:rsidRPr="00E048DC">
        <w:rPr>
          <w:rFonts w:cs="Times New Roman"/>
        </w:rPr>
        <w:t xml:space="preserve">was used to determine </w:t>
      </w:r>
      <w:r>
        <w:rPr>
          <w:rFonts w:cs="Times New Roman"/>
        </w:rPr>
        <w:t>metabolites</w:t>
      </w:r>
      <w:r w:rsidRPr="00E048DC">
        <w:rPr>
          <w:rFonts w:cs="Times New Roman"/>
        </w:rPr>
        <w:t xml:space="preserve"> associated with time </w:t>
      </w:r>
      <w:r>
        <w:rPr>
          <w:rFonts w:cs="Times New Roman"/>
        </w:rPr>
        <w:t>of sample collection</w:t>
      </w:r>
      <w:r w:rsidRPr="00E048DC">
        <w:rPr>
          <w:rFonts w:cs="Times New Roman"/>
        </w:rPr>
        <w:t xml:space="preserve"> (pre, during, and post-COVID-19):</w:t>
      </w:r>
    </w:p>
    <w:p w14:paraId="733E339D" w14:textId="77777777" w:rsidR="00E55AC7" w:rsidRPr="00C0271C" w:rsidRDefault="00E55AC7" w:rsidP="00E55AC7">
      <w:pPr>
        <w:spacing w:before="0" w:after="0" w:line="480" w:lineRule="auto"/>
        <w:rPr>
          <w:rFonts w:ascii="Cambria Math" w:hAnsi="Cambria Math" w:cs="Times New Roman"/>
          <w:b/>
          <w:bCs/>
          <w:iCs/>
        </w:rPr>
      </w:pPr>
      <m:oMath>
        <m:r>
          <m:rPr>
            <m:sty m:val="b"/>
          </m:rPr>
          <w:rPr>
            <w:rFonts w:ascii="Cambria Math" w:hAnsi="Cambria Math" w:cs="Times New Roman"/>
          </w:rPr>
          <m:t>E</m:t>
        </m:r>
        <m:d>
          <m:dPr>
            <m:ctrlPr>
              <w:rPr>
                <w:rFonts w:ascii="Cambria Math" w:hAnsi="Cambria Math" w:cs="Times New Roman"/>
                <w:b/>
                <w:bCs/>
                <w:iCs/>
              </w:rPr>
            </m:ctrlPr>
          </m:dPr>
          <m:e>
            <m:r>
              <m:rPr>
                <m:sty m:val="b"/>
              </m:rPr>
              <w:rPr>
                <w:rFonts w:ascii="Cambria Math" w:hAnsi="Cambria Math" w:cs="Times New Roman"/>
              </w:rPr>
              <m:t>Y</m:t>
            </m:r>
          </m:e>
        </m:d>
        <m:r>
          <m:rPr>
            <m:sty m:val="b"/>
          </m:rPr>
          <w:rPr>
            <w:rFonts w:ascii="Cambria Math" w:hAnsi="Cambria Math" w:cs="Times New Roman"/>
          </w:rPr>
          <m:t>= </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0</m:t>
            </m:r>
          </m:sub>
        </m:sSub>
        <m:r>
          <m:rPr>
            <m:sty m:val="b"/>
          </m:rPr>
          <w:rPr>
            <w:rFonts w:ascii="Cambria Math" w:hAnsi="Cambria Math" w:cs="Times New Roman"/>
          </w:rPr>
          <m:t>+ </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1</m:t>
            </m:r>
          </m:sub>
        </m:sSub>
        <m:r>
          <m:rPr>
            <m:sty m:val="b"/>
          </m:rPr>
          <w:rPr>
            <w:rFonts w:ascii="Cambria Math" w:hAnsi="Cambria Math" w:cs="Times New Roman"/>
          </w:rPr>
          <m:t>time point+</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2</m:t>
            </m:r>
          </m:sub>
        </m:sSub>
        <m:r>
          <m:rPr>
            <m:sty m:val="b"/>
          </m:rPr>
          <w:rPr>
            <w:rFonts w:ascii="Cambria Math" w:hAnsi="Cambria Math" w:cs="Times New Roman"/>
          </w:rPr>
          <m:t>severity+</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3</m:t>
            </m:r>
          </m:sub>
        </m:sSub>
        <m:r>
          <m:rPr>
            <m:sty m:val="b"/>
          </m:rPr>
          <w:rPr>
            <w:rFonts w:ascii="Cambria Math" w:hAnsi="Cambria Math" w:cs="Times New Roman"/>
          </w:rPr>
          <m:t>age+</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4</m:t>
            </m:r>
          </m:sub>
        </m:sSub>
        <m:r>
          <m:rPr>
            <m:sty m:val="b"/>
          </m:rPr>
          <w:rPr>
            <w:rFonts w:ascii="Cambria Math" w:hAnsi="Cambria Math" w:cs="Times New Roman"/>
          </w:rPr>
          <m:t>race+</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5</m:t>
            </m:r>
          </m:sub>
        </m:sSub>
        <m:r>
          <m:rPr>
            <m:sty m:val="b"/>
          </m:rPr>
          <w:rPr>
            <w:rFonts w:ascii="Cambria Math" w:hAnsi="Cambria Math" w:cs="Times New Roman"/>
          </w:rPr>
          <m:t>ethnicity+</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6</m:t>
            </m:r>
          </m:sub>
        </m:sSub>
        <m:r>
          <m:rPr>
            <m:sty m:val="b"/>
          </m:rPr>
          <w:rPr>
            <w:rFonts w:ascii="Cambria Math" w:hAnsi="Cambria Math" w:cs="Times New Roman"/>
          </w:rPr>
          <m:t>sex+</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7</m:t>
            </m:r>
          </m:sub>
        </m:sSub>
        <m:r>
          <m:rPr>
            <m:sty m:val="b"/>
          </m:rPr>
          <w:rPr>
            <w:rFonts w:ascii="Cambria Math" w:hAnsi="Cambria Math" w:cs="Times New Roman"/>
          </w:rPr>
          <m:t>BMI+</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8</m:t>
            </m:r>
          </m:sub>
        </m:sSub>
        <m:r>
          <m:rPr>
            <m:sty m:val="b"/>
          </m:rPr>
          <w:rPr>
            <w:rFonts w:ascii="Cambria Math" w:hAnsi="Cambria Math" w:cs="Times New Roman"/>
          </w:rPr>
          <m:t>smoking+</m:t>
        </m:r>
        <m:sSub>
          <m:sSubPr>
            <m:ctrlPr>
              <w:rPr>
                <w:rFonts w:ascii="Cambria Math" w:hAnsi="Cambria Math" w:cs="Times New Roman"/>
                <w:b/>
                <w:bCs/>
                <w:iCs/>
              </w:rPr>
            </m:ctrlPr>
          </m:sSubPr>
          <m:e>
            <m:r>
              <m:rPr>
                <m:sty m:val="b"/>
              </m:rPr>
              <w:rPr>
                <w:rFonts w:ascii="Cambria Math" w:hAnsi="Cambria Math" w:cs="Times New Roman"/>
              </w:rPr>
              <m:t>β</m:t>
            </m:r>
          </m:e>
          <m:sub>
            <m:r>
              <m:rPr>
                <m:sty m:val="b"/>
              </m:rPr>
              <w:rPr>
                <w:rFonts w:ascii="Cambria Math" w:hAnsi="Cambria Math" w:cs="Times New Roman"/>
              </w:rPr>
              <m:t>9</m:t>
            </m:r>
          </m:sub>
        </m:sSub>
        <m:r>
          <m:rPr>
            <m:sty m:val="b"/>
          </m:rPr>
          <w:rPr>
            <w:rFonts w:ascii="Cambria Math" w:hAnsi="Cambria Math" w:cs="Times New Roman"/>
          </w:rPr>
          <m:t>comorbidity level+ε [Equation 2]</m:t>
        </m:r>
      </m:oMath>
      <w:r w:rsidRPr="00C0271C">
        <w:rPr>
          <w:rFonts w:ascii="Cambria Math" w:hAnsi="Cambria Math" w:cs="Times New Roman"/>
          <w:b/>
          <w:bCs/>
          <w:iCs/>
        </w:rPr>
        <w:t xml:space="preserve"> </w:t>
      </w:r>
    </w:p>
    <w:p w14:paraId="344F05B2" w14:textId="77777777" w:rsidR="00E55AC7" w:rsidRPr="00E048DC" w:rsidRDefault="00E55AC7" w:rsidP="00E55AC7">
      <w:pPr>
        <w:spacing w:before="0" w:after="0" w:line="480" w:lineRule="auto"/>
        <w:rPr>
          <w:rFonts w:cs="Times New Roman"/>
        </w:rPr>
      </w:pPr>
      <w:r w:rsidRPr="00E048DC">
        <w:rPr>
          <w:rFonts w:cs="Times New Roman"/>
        </w:rPr>
        <w:t xml:space="preserve">using the </w:t>
      </w:r>
      <w:proofErr w:type="spellStart"/>
      <w:proofErr w:type="gramStart"/>
      <w:r w:rsidRPr="00E048DC">
        <w:rPr>
          <w:rFonts w:cs="Times New Roman"/>
          <w:i/>
          <w:iCs/>
        </w:rPr>
        <w:t>glm</w:t>
      </w:r>
      <w:proofErr w:type="spellEnd"/>
      <w:r w:rsidRPr="00E048DC">
        <w:rPr>
          <w:rFonts w:cs="Times New Roman"/>
        </w:rPr>
        <w:t>(</w:t>
      </w:r>
      <w:proofErr w:type="gramEnd"/>
      <w:r w:rsidRPr="00E048DC">
        <w:rPr>
          <w:rFonts w:cs="Times New Roman"/>
        </w:rPr>
        <w:t xml:space="preserve">) function in R </w:t>
      </w:r>
      <w:r w:rsidRPr="00E048DC">
        <w:rPr>
          <w:rFonts w:eastAsia="Times New Roman" w:cs="Times New Roman"/>
        </w:rPr>
        <w:t xml:space="preserve">(version 4.1.3), </w:t>
      </w:r>
      <w:r w:rsidRPr="00A77B4F">
        <w:rPr>
          <w:rFonts w:eastAsia="Times New Roman" w:cs="Times New Roman"/>
        </w:rPr>
        <w:t xml:space="preserve">where </w:t>
      </w:r>
      <w:r w:rsidRPr="00A77B4F">
        <w:rPr>
          <w:rFonts w:eastAsia="Times New Roman" w:cs="Times New Roman"/>
          <w:i/>
          <w:iCs/>
        </w:rPr>
        <w:t>E(Y)</w:t>
      </w:r>
      <w:r w:rsidRPr="00A77B4F">
        <w:rPr>
          <w:rFonts w:eastAsia="Times New Roman" w:cs="Times New Roman"/>
        </w:rPr>
        <w:t xml:space="preserve"> is the normalized and scaled metabolite relative abundance, </w:t>
      </w:r>
      <w:r w:rsidRPr="00A77B4F">
        <w:rPr>
          <w:rFonts w:eastAsia="Times New Roman" w:cs="Times New Roman"/>
          <w:i/>
          <w:iCs/>
        </w:rPr>
        <w:t>time point</w:t>
      </w:r>
      <w:r w:rsidRPr="00A77B4F">
        <w:rPr>
          <w:rFonts w:eastAsia="Times New Roman" w:cs="Times New Roman"/>
        </w:rPr>
        <w:t xml:space="preserve"> </w:t>
      </w:r>
      <w:r>
        <w:rPr>
          <w:rFonts w:eastAsia="Times New Roman" w:cs="Times New Roman"/>
        </w:rPr>
        <w:t>is the time of sample collection</w:t>
      </w:r>
      <w:r w:rsidRPr="00A77B4F">
        <w:rPr>
          <w:rFonts w:eastAsia="Times New Roman" w:cs="Times New Roman"/>
        </w:rPr>
        <w:t xml:space="preserve"> (pre-, during, and post-COVID-19),</w:t>
      </w:r>
      <w:r w:rsidRPr="00E048DC">
        <w:rPr>
          <w:rFonts w:eastAsia="Times New Roman" w:cs="Times New Roman"/>
        </w:rPr>
        <w:t xml:space="preserve"> </w:t>
      </w:r>
      <w:r w:rsidRPr="00A77B4F">
        <w:rPr>
          <w:rFonts w:eastAsia="Times New Roman" w:cs="Times New Roman"/>
        </w:rPr>
        <w:t xml:space="preserve">and </w:t>
      </w:r>
      <w:r w:rsidRPr="00A77B4F">
        <w:rPr>
          <w:rFonts w:cs="Times New Roman"/>
          <w:i/>
        </w:rPr>
        <w:t xml:space="preserve">ε </w:t>
      </w:r>
      <w:r w:rsidRPr="00A77B4F">
        <w:rPr>
          <w:rFonts w:cs="Times New Roman"/>
          <w:iCs/>
        </w:rPr>
        <w:t>follows a normal distribution N(0,1)</w:t>
      </w:r>
      <w:r>
        <w:rPr>
          <w:rFonts w:eastAsia="Times New Roman" w:cs="Times New Roman"/>
        </w:rPr>
        <w:t>.</w:t>
      </w:r>
      <w:r w:rsidRPr="00E048DC">
        <w:rPr>
          <w:rFonts w:cs="Times New Roman"/>
        </w:rPr>
        <w:t xml:space="preserve"> </w:t>
      </w:r>
    </w:p>
    <w:p w14:paraId="569A5AA6" w14:textId="77777777" w:rsidR="00E55AC7" w:rsidRPr="00B31295" w:rsidRDefault="00E55AC7" w:rsidP="00E55AC7">
      <w:pPr>
        <w:spacing w:before="0" w:after="0" w:line="480" w:lineRule="auto"/>
        <w:ind w:firstLine="567"/>
        <w:rPr>
          <w:rFonts w:cs="Times New Roman"/>
        </w:rPr>
      </w:pPr>
      <w:r w:rsidRPr="00E048DC">
        <w:rPr>
          <w:rFonts w:cs="Times New Roman"/>
        </w:rPr>
        <w:t xml:space="preserve">Results from </w:t>
      </w:r>
      <w:r w:rsidRPr="003103C6">
        <w:rPr>
          <w:rFonts w:cs="Times New Roman"/>
          <w:b/>
          <w:bCs/>
        </w:rPr>
        <w:t>Equation 2</w:t>
      </w:r>
      <w:r w:rsidRPr="00E048DC">
        <w:rPr>
          <w:rFonts w:cs="Times New Roman"/>
        </w:rPr>
        <w:t xml:space="preserve"> were used to identify metabolites that reflect transient alterations during infection and lingering changes after infection.  Specifically, we identified the</w:t>
      </w:r>
      <w:r w:rsidRPr="2580F5B4">
        <w:rPr>
          <w:rFonts w:cs="Times New Roman"/>
        </w:rPr>
        <w:t xml:space="preserve"> following </w:t>
      </w:r>
      <w:r w:rsidRPr="2580F5B4">
        <w:rPr>
          <w:rFonts w:cs="Times New Roman"/>
        </w:rPr>
        <w:lastRenderedPageBreak/>
        <w:t>sets of metabolites based on the statistical significanc</w:t>
      </w:r>
      <w:r w:rsidRPr="00E048DC">
        <w:rPr>
          <w:rFonts w:cs="Times New Roman"/>
        </w:rPr>
        <w:t>e of</w:t>
      </w:r>
      <w:r w:rsidRPr="2580F5B4">
        <w:rPr>
          <w:rFonts w:cs="Times New Roman"/>
        </w:rPr>
        <w:t xml:space="preserve"> the sample collection time term: 1) those altered upon active infection (pre- vs. </w:t>
      </w:r>
      <w:r>
        <w:rPr>
          <w:rFonts w:cs="Times New Roman"/>
        </w:rPr>
        <w:t>during COVID-19</w:t>
      </w:r>
      <w:r w:rsidRPr="2580F5B4">
        <w:rPr>
          <w:rFonts w:cs="Times New Roman"/>
        </w:rPr>
        <w:t xml:space="preserve">), 2) metabolites altered after active infection relative to </w:t>
      </w:r>
      <w:r>
        <w:rPr>
          <w:rFonts w:cs="Times New Roman"/>
        </w:rPr>
        <w:t>pre-COVID-19</w:t>
      </w:r>
      <w:r w:rsidRPr="2580F5B4">
        <w:rPr>
          <w:rFonts w:cs="Times New Roman"/>
        </w:rPr>
        <w:t xml:space="preserve"> samples (pre- vs. </w:t>
      </w:r>
      <w:r>
        <w:rPr>
          <w:rFonts w:cs="Times New Roman"/>
        </w:rPr>
        <w:t>post-COVID-19</w:t>
      </w:r>
      <w:r w:rsidRPr="2580F5B4">
        <w:rPr>
          <w:rFonts w:cs="Times New Roman"/>
        </w:rPr>
        <w:t xml:space="preserve"> samples), and 3) metabolites altered after infection relative to active infection (during vs. </w:t>
      </w:r>
      <w:r>
        <w:rPr>
          <w:rFonts w:cs="Times New Roman"/>
        </w:rPr>
        <w:t>post-COVID-19</w:t>
      </w:r>
      <w:r w:rsidRPr="2580F5B4">
        <w:rPr>
          <w:rFonts w:cs="Times New Roman"/>
        </w:rPr>
        <w:t xml:space="preserve">).  From these significant metabolites, we </w:t>
      </w:r>
      <w:r>
        <w:rPr>
          <w:rFonts w:cs="Times New Roman"/>
        </w:rPr>
        <w:t>defined transient and lingering alterations as follows</w:t>
      </w:r>
      <w:r w:rsidRPr="2580F5B4">
        <w:rPr>
          <w:rFonts w:cs="Times New Roman"/>
        </w:rPr>
        <w:t>:</w:t>
      </w:r>
      <w:r>
        <w:rPr>
          <w:rFonts w:cs="Times New Roman"/>
          <w:b/>
          <w:bCs/>
        </w:rPr>
        <w:t xml:space="preserve"> 1) </w:t>
      </w:r>
      <w:r w:rsidRPr="003D1D78">
        <w:rPr>
          <w:rFonts w:cs="Times New Roman"/>
          <w:b/>
          <w:bCs/>
        </w:rPr>
        <w:t>transient alterations</w:t>
      </w:r>
      <w:r w:rsidRPr="003D1D78">
        <w:rPr>
          <w:rFonts w:cs="Times New Roman"/>
        </w:rPr>
        <w:t xml:space="preserve"> during infection include metabolites significantly associated in </w:t>
      </w:r>
      <w:r w:rsidRPr="00F53342">
        <w:rPr>
          <w:rFonts w:cs="Times New Roman"/>
        </w:rPr>
        <w:t xml:space="preserve">pre- vs. during COVID-19 and in during vs. post-COVID-19 but </w:t>
      </w:r>
      <w:r w:rsidRPr="00F53342">
        <w:rPr>
          <w:rFonts w:cs="Times New Roman"/>
          <w:u w:val="single"/>
        </w:rPr>
        <w:t>not</w:t>
      </w:r>
      <w:r w:rsidRPr="00F53342">
        <w:rPr>
          <w:rFonts w:cs="Times New Roman"/>
        </w:rPr>
        <w:t xml:space="preserve"> pre- vs post-COVID-19; 2) </w:t>
      </w:r>
      <w:r w:rsidRPr="00F53342">
        <w:rPr>
          <w:rFonts w:cs="Times New Roman"/>
          <w:b/>
          <w:bCs/>
        </w:rPr>
        <w:t>l</w:t>
      </w:r>
      <w:r w:rsidRPr="003D1D78">
        <w:rPr>
          <w:rFonts w:cs="Times New Roman"/>
          <w:b/>
          <w:bCs/>
        </w:rPr>
        <w:t>ingering alterations</w:t>
      </w:r>
      <w:r w:rsidRPr="003D1D78">
        <w:rPr>
          <w:rFonts w:cs="Times New Roman"/>
        </w:rPr>
        <w:t xml:space="preserve"> after infection include metabolites significantly associated in pre- vs. post-COVID-19.</w:t>
      </w:r>
    </w:p>
    <w:p w14:paraId="7A947C1A" w14:textId="77777777" w:rsidR="00E55AC7" w:rsidRPr="00984931" w:rsidRDefault="00E55AC7" w:rsidP="00E55AC7">
      <w:pPr>
        <w:pStyle w:val="Heading2"/>
        <w:numPr>
          <w:ilvl w:val="0"/>
          <w:numId w:val="4"/>
        </w:numPr>
        <w:spacing w:before="0" w:after="0" w:line="480" w:lineRule="auto"/>
      </w:pPr>
      <w:r>
        <w:t>Mapping Metabolites to Pathways</w:t>
      </w:r>
    </w:p>
    <w:p w14:paraId="2D69DD91" w14:textId="77777777" w:rsidR="00E55AC7" w:rsidRDefault="00E55AC7" w:rsidP="00E55AC7">
      <w:pPr>
        <w:spacing w:before="0" w:after="0" w:line="480" w:lineRule="auto"/>
        <w:ind w:firstLine="567"/>
        <w:rPr>
          <w:rFonts w:cs="Times New Roman"/>
        </w:rPr>
      </w:pPr>
      <w:r>
        <w:rPr>
          <w:rFonts w:cs="Times New Roman"/>
        </w:rPr>
        <w:t>S</w:t>
      </w:r>
      <w:r w:rsidRPr="00501DDB">
        <w:rPr>
          <w:rFonts w:cs="Times New Roman"/>
        </w:rPr>
        <w:t xml:space="preserve">tatistically significant metabolites were </w:t>
      </w:r>
      <w:r>
        <w:rPr>
          <w:rFonts w:cs="Times New Roman"/>
        </w:rPr>
        <w:t xml:space="preserve">mapped to pathways </w:t>
      </w:r>
      <w:r w:rsidRPr="00501DDB">
        <w:rPr>
          <w:rFonts w:cs="Times New Roman"/>
        </w:rPr>
        <w:t xml:space="preserve">using </w:t>
      </w:r>
      <w:r>
        <w:rPr>
          <w:rFonts w:cs="Times New Roman"/>
        </w:rPr>
        <w:t xml:space="preserve">the </w:t>
      </w:r>
      <w:proofErr w:type="spellStart"/>
      <w:r w:rsidRPr="004626E2">
        <w:rPr>
          <w:rFonts w:cs="Times New Roman"/>
        </w:rPr>
        <w:t>getPathwayFromAnalyte</w:t>
      </w:r>
      <w:proofErr w:type="spellEnd"/>
      <w:r w:rsidRPr="004626E2">
        <w:rPr>
          <w:rFonts w:cs="Times New Roman"/>
        </w:rPr>
        <w:t>()</w:t>
      </w:r>
      <w:r>
        <w:rPr>
          <w:rFonts w:cs="Times New Roman"/>
        </w:rPr>
        <w:t xml:space="preserve"> function from </w:t>
      </w:r>
      <w:proofErr w:type="spellStart"/>
      <w:r w:rsidRPr="00501DDB">
        <w:rPr>
          <w:rFonts w:cs="Times New Roman"/>
        </w:rPr>
        <w:t>RaMP</w:t>
      </w:r>
      <w:proofErr w:type="spellEnd"/>
      <w:r w:rsidRPr="00501DDB">
        <w:rPr>
          <w:rFonts w:cs="Times New Roman"/>
        </w:rPr>
        <w:t>-DB 2.0 (database version 2.0.7</w:t>
      </w:r>
      <w:r>
        <w:rPr>
          <w:rFonts w:cs="Times New Roman"/>
        </w:rPr>
        <w:t>, package version 2.3.1</w:t>
      </w:r>
      <w:r w:rsidRPr="00501DDB">
        <w:rPr>
          <w:rFonts w:cs="Times New Roman"/>
        </w:rPr>
        <w:t>)</w:t>
      </w:r>
      <w:r>
        <w:rPr>
          <w:rFonts w:cs="Times New Roman"/>
        </w:rPr>
        <w:t xml:space="preserve"> </w:t>
      </w:r>
      <w:r>
        <w:rPr>
          <w:rFonts w:cs="Times New Roman"/>
        </w:rPr>
        <w:fldChar w:fldCharType="begin"/>
      </w:r>
      <w:r>
        <w:rPr>
          <w:rFonts w:cs="Times New Roman"/>
        </w:rPr>
        <w:instrText xml:space="preserve"> ADDIN EN.CITE &lt;EndNote&gt;&lt;Cite&gt;&lt;Author&gt;Braisted&lt;/Author&gt;&lt;Year&gt;2023&lt;/Year&gt;&lt;RecNum&gt;60&lt;/RecNum&gt;&lt;DisplayText&gt;(24)&lt;/DisplayText&gt;&lt;record&gt;&lt;rec-number&gt;60&lt;/rec-number&gt;&lt;foreign-keys&gt;&lt;key app="EN" db-id="dwd2xezsmpwetue9aedxsz5rs9dazevswr2f" timestamp="1688141598"&gt;60&lt;/key&gt;&lt;/foreign-keys&gt;&lt;ref-type name="Journal Article"&gt;17&lt;/ref-type&gt;&lt;contributors&gt;&lt;authors&gt;&lt;author&gt;Braisted, John&lt;/author&gt;&lt;author&gt;Patt, Andrew&lt;/author&gt;&lt;author&gt;Tindall, Cole&lt;/author&gt;&lt;author&gt;Sheils, Timothy&lt;/author&gt;&lt;author&gt;Neyra, Jorge&lt;/author&gt;&lt;author&gt;Spencer, Kyle&lt;/author&gt;&lt;author&gt;Eicher, Tara&lt;/author&gt;&lt;author&gt;Mathé, Ewy A.&lt;/author&gt;&lt;/authors&gt;&lt;/contributors&gt;&lt;titles&gt;&lt;title&gt;RaMP-DB 2.0: a renovated knowledgebase for deriving biological and chemical insight from metabolites, proteins, and genes&lt;/title&gt;&lt;secondary-title&gt;Bioinformatics&lt;/secondary-title&gt;&lt;/titles&gt;&lt;periodical&gt;&lt;full-title&gt;Bioinformatics&lt;/full-title&gt;&lt;/periodical&gt;&lt;pages&gt;btac726-btac726&lt;/pages&gt;&lt;volume&gt;39&lt;/volume&gt;&lt;number&gt;1&lt;/number&gt;&lt;dates&gt;&lt;year&gt;2023&lt;/year&gt;&lt;/dates&gt;&lt;urls&gt;&lt;/urls&gt;&lt;electronic-resource-num&gt;10.1093/bioinformatics/btac726&lt;/electronic-resource-num&gt;&lt;/record&gt;&lt;/Cite&gt;&lt;/EndNote&gt;</w:instrText>
      </w:r>
      <w:r>
        <w:rPr>
          <w:rFonts w:cs="Times New Roman"/>
        </w:rPr>
        <w:fldChar w:fldCharType="separate"/>
      </w:r>
      <w:r>
        <w:rPr>
          <w:rFonts w:cs="Times New Roman"/>
          <w:noProof/>
        </w:rPr>
        <w:t>(24)</w:t>
      </w:r>
      <w:r>
        <w:rPr>
          <w:rFonts w:cs="Times New Roman"/>
        </w:rPr>
        <w:fldChar w:fldCharType="end"/>
      </w:r>
      <w:r w:rsidRPr="00501DDB">
        <w:rPr>
          <w:rFonts w:cs="Times New Roman"/>
        </w:rPr>
        <w:t xml:space="preserve"> to assist with biological interpretation. Metabolite identifiers (HMDB, PubChem, CAS, and </w:t>
      </w:r>
      <w:proofErr w:type="spellStart"/>
      <w:r w:rsidRPr="00501DDB">
        <w:rPr>
          <w:rFonts w:cs="Times New Roman"/>
        </w:rPr>
        <w:t>ChemSpider</w:t>
      </w:r>
      <w:proofErr w:type="spellEnd"/>
      <w:r w:rsidRPr="00501DDB">
        <w:rPr>
          <w:rFonts w:cs="Times New Roman"/>
        </w:rPr>
        <w:t>) provided by the Metabolon platform and custom background of all identified metabolites in the entire metabolomics dataset (n = 1,</w:t>
      </w:r>
      <w:r>
        <w:rPr>
          <w:rFonts w:cs="Times New Roman"/>
        </w:rPr>
        <w:t>27</w:t>
      </w:r>
      <w:r w:rsidRPr="00501DDB">
        <w:rPr>
          <w:rFonts w:cs="Times New Roman"/>
        </w:rPr>
        <w:t xml:space="preserve">6) were used as input. Only pathways that contained at least two metabolites were retained. Pathways that shared common metabolites/annotations were initially clustered using the </w:t>
      </w:r>
      <w:proofErr w:type="spellStart"/>
      <w:proofErr w:type="gramStart"/>
      <w:r w:rsidRPr="00501DDB">
        <w:rPr>
          <w:rFonts w:cs="Times New Roman"/>
        </w:rPr>
        <w:t>findCluster</w:t>
      </w:r>
      <w:proofErr w:type="spellEnd"/>
      <w:r w:rsidRPr="00501DDB">
        <w:rPr>
          <w:rFonts w:cs="Times New Roman"/>
        </w:rPr>
        <w:t>(</w:t>
      </w:r>
      <w:proofErr w:type="gramEnd"/>
      <w:r w:rsidRPr="00501DDB">
        <w:rPr>
          <w:rFonts w:cs="Times New Roman"/>
        </w:rPr>
        <w:t xml:space="preserve">) function. Clusters were then manually inspected </w:t>
      </w:r>
      <w:r>
        <w:rPr>
          <w:rFonts w:cs="Times New Roman"/>
        </w:rPr>
        <w:t xml:space="preserve">and annotated </w:t>
      </w:r>
      <w:r w:rsidRPr="00501DDB">
        <w:rPr>
          <w:rFonts w:cs="Times New Roman"/>
        </w:rPr>
        <w:t>to revise cluster membership</w:t>
      </w:r>
      <w:r w:rsidRPr="00E048DC">
        <w:rPr>
          <w:rFonts w:cs="Times New Roman"/>
        </w:rPr>
        <w:t>.</w:t>
      </w:r>
    </w:p>
    <w:p w14:paraId="4658FDCF" w14:textId="77777777" w:rsidR="000D3DF7" w:rsidRDefault="000D3DF7"/>
    <w:sectPr w:rsidR="000D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257"/>
    <w:multiLevelType w:val="multilevel"/>
    <w:tmpl w:val="BF8E417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E58E7"/>
    <w:multiLevelType w:val="hybridMultilevel"/>
    <w:tmpl w:val="27E02A3A"/>
    <w:lvl w:ilvl="0" w:tplc="51522F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583585">
    <w:abstractNumId w:val="3"/>
  </w:num>
  <w:num w:numId="2" w16cid:durableId="1483084378">
    <w:abstractNumId w:val="0"/>
  </w:num>
  <w:num w:numId="3" w16cid:durableId="1558199929">
    <w:abstractNumId w:val="2"/>
  </w:num>
  <w:num w:numId="4" w16cid:durableId="2002923295">
    <w:abstractNumId w:val="1"/>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5" w16cid:durableId="1849443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C7"/>
    <w:rsid w:val="000D3DF7"/>
    <w:rsid w:val="001349AF"/>
    <w:rsid w:val="00193AB4"/>
    <w:rsid w:val="002C2425"/>
    <w:rsid w:val="00351BF3"/>
    <w:rsid w:val="004F49E6"/>
    <w:rsid w:val="0055253F"/>
    <w:rsid w:val="006275DA"/>
    <w:rsid w:val="00711581"/>
    <w:rsid w:val="008C158D"/>
    <w:rsid w:val="00CA7F71"/>
    <w:rsid w:val="00DA177B"/>
    <w:rsid w:val="00E5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BDBD2"/>
  <w15:chartTrackingRefBased/>
  <w15:docId w15:val="{1A3D65F6-A6A8-E54F-A1A9-E108F489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C7"/>
    <w:pPr>
      <w:spacing w:before="120" w:after="240"/>
    </w:pPr>
    <w:rPr>
      <w:rFonts w:ascii="Times New Roman" w:hAnsi="Times New Roman"/>
      <w:kern w:val="0"/>
      <w:szCs w:val="22"/>
      <w14:ligatures w14:val="none"/>
    </w:rPr>
  </w:style>
  <w:style w:type="paragraph" w:styleId="Heading1">
    <w:name w:val="heading 1"/>
    <w:basedOn w:val="Normal"/>
    <w:next w:val="Normal"/>
    <w:link w:val="Heading1Char"/>
    <w:autoRedefine/>
    <w:uiPriority w:val="2"/>
    <w:qFormat/>
    <w:rsid w:val="002C2425"/>
    <w:pPr>
      <w:keepNext/>
      <w:keepLines/>
      <w:numPr>
        <w:numId w:val="2"/>
      </w:numPr>
      <w:spacing w:before="240" w:line="259" w:lineRule="auto"/>
      <w:ind w:left="360" w:hanging="360"/>
      <w:outlineLvl w:val="0"/>
    </w:pPr>
    <w:rPr>
      <w:rFonts w:eastAsiaTheme="majorEastAsia" w:cstheme="majorBidi"/>
      <w:b/>
      <w:color w:val="000000" w:themeColor="text1"/>
      <w:szCs w:val="32"/>
    </w:rPr>
  </w:style>
  <w:style w:type="paragraph" w:styleId="Heading2">
    <w:name w:val="heading 2"/>
    <w:basedOn w:val="Heading1"/>
    <w:next w:val="Normal"/>
    <w:link w:val="Heading2Char"/>
    <w:uiPriority w:val="2"/>
    <w:qFormat/>
    <w:rsid w:val="00E55AC7"/>
    <w:pPr>
      <w:keepNext w:val="0"/>
      <w:keepLines w:val="0"/>
      <w:numPr>
        <w:numId w:val="0"/>
      </w:numPr>
      <w:tabs>
        <w:tab w:val="num" w:pos="567"/>
      </w:tabs>
      <w:spacing w:after="200" w:line="240" w:lineRule="auto"/>
      <w:ind w:left="567" w:hanging="567"/>
      <w:outlineLvl w:val="1"/>
    </w:pPr>
    <w:rPr>
      <w:rFonts w:eastAsia="Cambria" w:cs="Times New Roman"/>
      <w:color w:val="auto"/>
      <w:szCs w:val="24"/>
    </w:rPr>
  </w:style>
  <w:style w:type="paragraph" w:styleId="Heading3">
    <w:name w:val="heading 3"/>
    <w:basedOn w:val="Normal"/>
    <w:next w:val="Normal"/>
    <w:link w:val="Heading3Char"/>
    <w:uiPriority w:val="2"/>
    <w:qFormat/>
    <w:rsid w:val="00E55AC7"/>
    <w:pPr>
      <w:keepNext/>
      <w:keepLines/>
      <w:tabs>
        <w:tab w:val="num" w:pos="567"/>
      </w:tabs>
      <w:spacing w:before="40" w:after="120"/>
      <w:ind w:left="567" w:hanging="567"/>
      <w:outlineLvl w:val="2"/>
    </w:pPr>
    <w:rPr>
      <w:rFonts w:eastAsiaTheme="majorEastAsia" w:cstheme="majorBidi"/>
      <w:b/>
      <w:szCs w:val="24"/>
    </w:rPr>
  </w:style>
  <w:style w:type="paragraph" w:styleId="Heading4">
    <w:name w:val="heading 4"/>
    <w:basedOn w:val="Heading3"/>
    <w:next w:val="Normal"/>
    <w:link w:val="Heading4Char"/>
    <w:uiPriority w:val="2"/>
    <w:qFormat/>
    <w:rsid w:val="00E55AC7"/>
    <w:pPr>
      <w:outlineLvl w:val="3"/>
    </w:pPr>
    <w:rPr>
      <w:iCs/>
    </w:rPr>
  </w:style>
  <w:style w:type="paragraph" w:styleId="Heading5">
    <w:name w:val="heading 5"/>
    <w:basedOn w:val="Heading4"/>
    <w:next w:val="Normal"/>
    <w:link w:val="Heading5Char"/>
    <w:uiPriority w:val="2"/>
    <w:qFormat/>
    <w:rsid w:val="00E55AC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C2425"/>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2"/>
    <w:rsid w:val="00E55AC7"/>
    <w:rPr>
      <w:rFonts w:ascii="Times New Roman" w:eastAsia="Cambria" w:hAnsi="Times New Roman" w:cs="Times New Roman"/>
      <w:b/>
      <w:kern w:val="0"/>
      <w14:ligatures w14:val="none"/>
    </w:rPr>
  </w:style>
  <w:style w:type="character" w:customStyle="1" w:styleId="Heading3Char">
    <w:name w:val="Heading 3 Char"/>
    <w:basedOn w:val="DefaultParagraphFont"/>
    <w:link w:val="Heading3"/>
    <w:uiPriority w:val="2"/>
    <w:rsid w:val="00E55AC7"/>
    <w:rPr>
      <w:rFonts w:ascii="Times New Roman" w:eastAsiaTheme="majorEastAsia" w:hAnsi="Times New Roman" w:cstheme="majorBidi"/>
      <w:b/>
      <w:kern w:val="0"/>
      <w14:ligatures w14:val="none"/>
    </w:rPr>
  </w:style>
  <w:style w:type="character" w:customStyle="1" w:styleId="Heading4Char">
    <w:name w:val="Heading 4 Char"/>
    <w:basedOn w:val="DefaultParagraphFont"/>
    <w:link w:val="Heading4"/>
    <w:uiPriority w:val="2"/>
    <w:rsid w:val="00E55AC7"/>
    <w:rPr>
      <w:rFonts w:ascii="Times New Roman" w:eastAsiaTheme="majorEastAsia" w:hAnsi="Times New Roman" w:cstheme="majorBidi"/>
      <w:b/>
      <w:iCs/>
      <w:kern w:val="0"/>
      <w14:ligatures w14:val="none"/>
    </w:rPr>
  </w:style>
  <w:style w:type="character" w:customStyle="1" w:styleId="Heading5Char">
    <w:name w:val="Heading 5 Char"/>
    <w:basedOn w:val="DefaultParagraphFont"/>
    <w:link w:val="Heading5"/>
    <w:uiPriority w:val="2"/>
    <w:rsid w:val="00E55AC7"/>
    <w:rPr>
      <w:rFonts w:ascii="Times New Roman" w:eastAsiaTheme="majorEastAsia" w:hAnsi="Times New Roman" w:cstheme="majorBidi"/>
      <w:b/>
      <w:iCs/>
      <w:kern w:val="0"/>
      <w14:ligatures w14:val="none"/>
    </w:rPr>
  </w:style>
  <w:style w:type="numbering" w:customStyle="1" w:styleId="Headings">
    <w:name w:val="Headings"/>
    <w:uiPriority w:val="99"/>
    <w:rsid w:val="00E55AC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2935</Words>
  <Characters>16732</Characters>
  <Application>Microsoft Office Word</Application>
  <DocSecurity>0</DocSecurity>
  <Lines>139</Lines>
  <Paragraphs>39</Paragraphs>
  <ScaleCrop>false</ScaleCrop>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Chatelaine, Haley (NIH/NCATS) [F]</dc:creator>
  <cp:keywords/>
  <dc:description/>
  <cp:lastModifiedBy>Chatelaine, Haley (NIH/NCATS) [F]</cp:lastModifiedBy>
  <cp:revision>1</cp:revision>
  <dcterms:created xsi:type="dcterms:W3CDTF">2023-08-22T14:09:00Z</dcterms:created>
  <dcterms:modified xsi:type="dcterms:W3CDTF">2023-08-22T14:09:00Z</dcterms:modified>
</cp:coreProperties>
</file>