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FBC08" w14:textId="7E4F504B" w:rsidR="00756CF3" w:rsidRDefault="00D10D58">
      <w:pPr>
        <w:rPr>
          <w:rFonts w:ascii="Arial" w:hAnsi="Arial" w:cs="Arial"/>
        </w:rPr>
      </w:pPr>
      <w:r w:rsidRPr="00D10D58">
        <w:rPr>
          <w:rFonts w:ascii="Arial" w:hAnsi="Arial" w:cs="Arial"/>
          <w:b/>
          <w:bCs/>
        </w:rPr>
        <w:t>Title:</w:t>
      </w:r>
      <w:r>
        <w:rPr>
          <w:rFonts w:ascii="Arial" w:hAnsi="Arial" w:cs="Arial"/>
        </w:rPr>
        <w:t xml:space="preserve"> </w:t>
      </w:r>
      <w:r w:rsidR="00A0371B" w:rsidRPr="00A0371B">
        <w:rPr>
          <w:rFonts w:ascii="Arial" w:hAnsi="Arial" w:cs="Arial"/>
        </w:rPr>
        <w:t>Metabolomics reveals global metabolic changes between WT and SCAP deficient B cells</w:t>
      </w:r>
    </w:p>
    <w:p w14:paraId="26B934CA" w14:textId="77777777" w:rsidR="00453D87" w:rsidRDefault="00453D87">
      <w:pPr>
        <w:rPr>
          <w:rFonts w:ascii="Arial" w:hAnsi="Arial" w:cs="Arial"/>
        </w:rPr>
      </w:pPr>
    </w:p>
    <w:p w14:paraId="618E3E02" w14:textId="1BD78DE1" w:rsidR="00453D87" w:rsidRPr="00016F13" w:rsidRDefault="00453D87" w:rsidP="00453D87">
      <w:pPr>
        <w:autoSpaceDE w:val="0"/>
        <w:autoSpaceDN w:val="0"/>
        <w:adjustRightInd w:val="0"/>
        <w:spacing w:line="360" w:lineRule="auto"/>
        <w:jc w:val="both"/>
        <w:rPr>
          <w:rFonts w:ascii="Arial" w:hAnsi="Arial" w:cs="Arial"/>
          <w:color w:val="000000" w:themeColor="text1"/>
        </w:rPr>
      </w:pPr>
      <w:r w:rsidRPr="00453D87">
        <w:rPr>
          <w:rFonts w:ascii="Arial" w:hAnsi="Arial" w:cs="Arial"/>
          <w:b/>
          <w:bCs/>
        </w:rPr>
        <w:t>Abstract:</w:t>
      </w:r>
      <w:r>
        <w:rPr>
          <w:rFonts w:ascii="Arial" w:hAnsi="Arial" w:cs="Arial"/>
        </w:rPr>
        <w:t xml:space="preserve"> </w:t>
      </w:r>
      <w:r w:rsidRPr="00016F13">
        <w:rPr>
          <w:rFonts w:ascii="Arial" w:hAnsi="Arial" w:cs="Arial"/>
          <w:color w:val="000000" w:themeColor="text1"/>
        </w:rPr>
        <w:t xml:space="preserve">Cellular metabolism regulates almost all critical cellular activities including cell growth, proliferation, energy homeostasis and signaling transduction. </w:t>
      </w:r>
      <w:r w:rsidR="00DD4ED7">
        <w:rPr>
          <w:rFonts w:ascii="Arial" w:hAnsi="Arial" w:cs="Arial"/>
          <w:color w:val="000000" w:themeColor="text1"/>
        </w:rPr>
        <w:t xml:space="preserve">SCAP </w:t>
      </w:r>
      <w:r w:rsidR="005B25A5">
        <w:rPr>
          <w:rFonts w:ascii="Arial" w:hAnsi="Arial" w:cs="Arial"/>
          <w:color w:val="000000" w:themeColor="text1"/>
        </w:rPr>
        <w:t>controls SREBP signaling, an important</w:t>
      </w:r>
      <w:r w:rsidR="00AA712E">
        <w:rPr>
          <w:rFonts w:ascii="Arial" w:hAnsi="Arial" w:cs="Arial"/>
          <w:color w:val="000000" w:themeColor="text1"/>
        </w:rPr>
        <w:t xml:space="preserve"> pathway</w:t>
      </w:r>
      <w:r w:rsidR="005B25A5">
        <w:rPr>
          <w:rFonts w:ascii="Arial" w:hAnsi="Arial" w:cs="Arial"/>
          <w:color w:val="000000" w:themeColor="text1"/>
        </w:rPr>
        <w:t xml:space="preserve"> regulat</w:t>
      </w:r>
      <w:r w:rsidR="00AA712E">
        <w:rPr>
          <w:rFonts w:ascii="Arial" w:hAnsi="Arial" w:cs="Arial"/>
          <w:color w:val="000000" w:themeColor="text1"/>
        </w:rPr>
        <w:t xml:space="preserve">ing </w:t>
      </w:r>
      <w:r w:rsidR="005B25A5">
        <w:rPr>
          <w:rFonts w:ascii="Arial" w:hAnsi="Arial" w:cs="Arial"/>
          <w:color w:val="000000" w:themeColor="text1"/>
        </w:rPr>
        <w:t xml:space="preserve">cellular lipid biosynthesis. </w:t>
      </w:r>
      <w:r w:rsidR="00D75FE1">
        <w:rPr>
          <w:rFonts w:ascii="Arial" w:hAnsi="Arial" w:cs="Arial"/>
          <w:color w:val="000000" w:themeColor="text1"/>
        </w:rPr>
        <w:t xml:space="preserve">SCAP </w:t>
      </w:r>
      <w:r w:rsidR="00BD788F">
        <w:rPr>
          <w:rFonts w:ascii="Arial" w:hAnsi="Arial" w:cs="Arial"/>
          <w:color w:val="000000" w:themeColor="text1"/>
        </w:rPr>
        <w:t>KO</w:t>
      </w:r>
      <w:r w:rsidR="00D75FE1">
        <w:rPr>
          <w:rFonts w:ascii="Arial" w:hAnsi="Arial" w:cs="Arial"/>
          <w:color w:val="000000" w:themeColor="text1"/>
        </w:rPr>
        <w:t xml:space="preserve"> B cells </w:t>
      </w:r>
      <w:r w:rsidR="00E5112D">
        <w:rPr>
          <w:rFonts w:ascii="Arial" w:hAnsi="Arial" w:cs="Arial"/>
          <w:color w:val="000000" w:themeColor="text1"/>
        </w:rPr>
        <w:t>have multiple defects and cannot</w:t>
      </w:r>
      <w:r w:rsidR="00AC4B23">
        <w:rPr>
          <w:rFonts w:ascii="Arial" w:hAnsi="Arial" w:cs="Arial"/>
          <w:color w:val="000000" w:themeColor="text1"/>
        </w:rPr>
        <w:t xml:space="preserve"> form germinal centers. </w:t>
      </w:r>
      <w:r w:rsidR="0006585D">
        <w:rPr>
          <w:rFonts w:ascii="Arial" w:hAnsi="Arial" w:cs="Arial"/>
          <w:color w:val="000000" w:themeColor="text1"/>
        </w:rPr>
        <w:t>To test whether these</w:t>
      </w:r>
      <w:r w:rsidRPr="00016F13">
        <w:rPr>
          <w:rFonts w:ascii="Arial" w:hAnsi="Arial" w:cs="Arial"/>
          <w:color w:val="000000" w:themeColor="text1"/>
        </w:rPr>
        <w:t xml:space="preserve"> defects </w:t>
      </w:r>
      <w:r w:rsidR="0006585D">
        <w:rPr>
          <w:rFonts w:ascii="Arial" w:hAnsi="Arial" w:cs="Arial"/>
          <w:color w:val="000000" w:themeColor="text1"/>
        </w:rPr>
        <w:t>of</w:t>
      </w:r>
      <w:r w:rsidRPr="00016F13">
        <w:rPr>
          <w:rFonts w:ascii="Arial" w:hAnsi="Arial" w:cs="Arial"/>
          <w:color w:val="000000" w:themeColor="text1"/>
        </w:rPr>
        <w:t xml:space="preserve"> S</w:t>
      </w:r>
      <w:r w:rsidR="0006585D">
        <w:rPr>
          <w:rFonts w:ascii="Arial" w:hAnsi="Arial" w:cs="Arial"/>
          <w:color w:val="000000" w:themeColor="text1"/>
        </w:rPr>
        <w:t>CAP</w:t>
      </w:r>
      <w:r w:rsidRPr="00016F13">
        <w:rPr>
          <w:rFonts w:ascii="Arial" w:hAnsi="Arial" w:cs="Arial"/>
          <w:color w:val="000000" w:themeColor="text1"/>
        </w:rPr>
        <w:t xml:space="preserve"> </w:t>
      </w:r>
      <w:r w:rsidR="00BD788F">
        <w:rPr>
          <w:rFonts w:ascii="Arial" w:hAnsi="Arial" w:cs="Arial"/>
          <w:color w:val="000000" w:themeColor="text1"/>
        </w:rPr>
        <w:t>KO</w:t>
      </w:r>
      <w:r w:rsidRPr="00016F13">
        <w:rPr>
          <w:rFonts w:ascii="Arial" w:hAnsi="Arial" w:cs="Arial"/>
          <w:color w:val="000000" w:themeColor="text1"/>
        </w:rPr>
        <w:t xml:space="preserve"> B cells are associated with an altered global metabolic state. </w:t>
      </w:r>
      <w:r w:rsidR="00124288">
        <w:rPr>
          <w:rFonts w:ascii="Arial" w:hAnsi="Arial" w:cs="Arial"/>
          <w:color w:val="000000" w:themeColor="text1"/>
        </w:rPr>
        <w:t>W</w:t>
      </w:r>
      <w:r w:rsidRPr="00016F13">
        <w:rPr>
          <w:rFonts w:ascii="Arial" w:hAnsi="Arial" w:cs="Arial"/>
          <w:color w:val="000000" w:themeColor="text1"/>
        </w:rPr>
        <w:t xml:space="preserve">e stimulated B cells isolated from </w:t>
      </w:r>
      <w:proofErr w:type="spellStart"/>
      <w:r w:rsidRPr="00016F13">
        <w:rPr>
          <w:rFonts w:ascii="Arial" w:hAnsi="Arial" w:cs="Arial"/>
          <w:color w:val="000000" w:themeColor="text1"/>
        </w:rPr>
        <w:t>SCAP</w:t>
      </w:r>
      <w:r w:rsidRPr="00016F13">
        <w:rPr>
          <w:rFonts w:ascii="Arial" w:hAnsi="Arial" w:cs="Arial"/>
          <w:color w:val="000000" w:themeColor="text1"/>
          <w:vertAlign w:val="superscript"/>
        </w:rPr>
        <w:t>fl</w:t>
      </w:r>
      <w:proofErr w:type="spellEnd"/>
      <w:r w:rsidRPr="00016F13">
        <w:rPr>
          <w:rFonts w:ascii="Arial" w:hAnsi="Arial" w:cs="Arial"/>
          <w:color w:val="000000" w:themeColor="text1"/>
          <w:vertAlign w:val="superscript"/>
        </w:rPr>
        <w:t>/</w:t>
      </w:r>
      <w:proofErr w:type="spellStart"/>
      <w:r w:rsidRPr="00016F13">
        <w:rPr>
          <w:rFonts w:ascii="Arial" w:hAnsi="Arial" w:cs="Arial"/>
          <w:color w:val="000000" w:themeColor="text1"/>
          <w:vertAlign w:val="superscript"/>
        </w:rPr>
        <w:t>fl</w:t>
      </w:r>
      <w:proofErr w:type="spellEnd"/>
      <w:r w:rsidRPr="00016F13">
        <w:rPr>
          <w:rFonts w:ascii="Arial" w:hAnsi="Arial" w:cs="Arial"/>
          <w:color w:val="000000" w:themeColor="text1"/>
          <w:vertAlign w:val="superscript"/>
        </w:rPr>
        <w:t xml:space="preserve"> </w:t>
      </w:r>
      <w:r w:rsidRPr="00016F13">
        <w:rPr>
          <w:rFonts w:ascii="Arial" w:hAnsi="Arial" w:cs="Arial"/>
          <w:color w:val="000000" w:themeColor="text1"/>
        </w:rPr>
        <w:t>CD19</w:t>
      </w:r>
      <w:r w:rsidRPr="00016F13">
        <w:rPr>
          <w:rFonts w:ascii="Arial" w:hAnsi="Arial" w:cs="Arial"/>
          <w:color w:val="000000" w:themeColor="text1"/>
          <w:vertAlign w:val="superscript"/>
        </w:rPr>
        <w:t>Cre/+</w:t>
      </w:r>
      <w:r w:rsidR="00124288">
        <w:rPr>
          <w:rFonts w:ascii="Arial" w:hAnsi="Arial" w:cs="Arial"/>
          <w:color w:val="000000" w:themeColor="text1"/>
        </w:rPr>
        <w:t xml:space="preserve"> mice (KO)</w:t>
      </w:r>
      <w:r w:rsidRPr="00016F13">
        <w:rPr>
          <w:rFonts w:ascii="Arial" w:hAnsi="Arial" w:cs="Arial"/>
          <w:color w:val="000000" w:themeColor="text1"/>
        </w:rPr>
        <w:t xml:space="preserve"> and SCAP</w:t>
      </w:r>
      <w:r w:rsidRPr="00016F13">
        <w:rPr>
          <w:rFonts w:ascii="Arial" w:hAnsi="Arial" w:cs="Arial"/>
          <w:color w:val="000000" w:themeColor="text1"/>
          <w:vertAlign w:val="superscript"/>
        </w:rPr>
        <w:t xml:space="preserve">+/+ </w:t>
      </w:r>
      <w:r w:rsidRPr="00016F13">
        <w:rPr>
          <w:rFonts w:ascii="Arial" w:hAnsi="Arial" w:cs="Arial"/>
          <w:color w:val="000000" w:themeColor="text1"/>
        </w:rPr>
        <w:t>CD19</w:t>
      </w:r>
      <w:r w:rsidRPr="00016F13">
        <w:rPr>
          <w:rFonts w:ascii="Arial" w:hAnsi="Arial" w:cs="Arial"/>
          <w:color w:val="000000" w:themeColor="text1"/>
          <w:vertAlign w:val="superscript"/>
        </w:rPr>
        <w:t>Cre/+</w:t>
      </w:r>
      <w:r w:rsidR="00124288">
        <w:rPr>
          <w:rFonts w:ascii="Arial" w:hAnsi="Arial" w:cs="Arial"/>
          <w:color w:val="000000" w:themeColor="text1"/>
        </w:rPr>
        <w:t xml:space="preserve"> mice (WT)</w:t>
      </w:r>
      <w:r w:rsidRPr="00016F13">
        <w:rPr>
          <w:rFonts w:ascii="Arial" w:hAnsi="Arial" w:cs="Arial"/>
          <w:color w:val="000000" w:themeColor="text1"/>
        </w:rPr>
        <w:t xml:space="preserve"> with </w:t>
      </w:r>
      <w:r w:rsidRPr="00016F13">
        <w:rPr>
          <w:rFonts w:ascii="Cambria Math" w:hAnsi="Cambria Math" w:cs="Cambria Math"/>
          <w:color w:val="000000" w:themeColor="text1"/>
        </w:rPr>
        <w:t>⍺</w:t>
      </w:r>
      <w:r w:rsidRPr="00016F13">
        <w:rPr>
          <w:rFonts w:ascii="Arial" w:hAnsi="Arial" w:cs="Arial"/>
          <w:color w:val="000000" w:themeColor="text1"/>
        </w:rPr>
        <w:t xml:space="preserve">-CD40 or LPS for 24 and 48 hours, followed by targeted metabolomics analysis to evaluate global metabolic changes. </w:t>
      </w:r>
      <w:r w:rsidR="00DF2F64">
        <w:rPr>
          <w:rFonts w:ascii="Arial" w:hAnsi="Arial" w:cs="Arial"/>
          <w:color w:val="000000" w:themeColor="text1"/>
        </w:rPr>
        <w:t>We found that t</w:t>
      </w:r>
      <w:r w:rsidRPr="00016F13">
        <w:rPr>
          <w:rFonts w:ascii="Arial" w:hAnsi="Arial" w:cs="Arial"/>
          <w:color w:val="000000" w:themeColor="text1"/>
        </w:rPr>
        <w:t>he metabolic profile</w:t>
      </w:r>
      <w:r>
        <w:rPr>
          <w:rFonts w:ascii="Arial" w:hAnsi="Arial" w:cs="Arial" w:hint="eastAsia"/>
          <w:color w:val="000000" w:themeColor="text1"/>
        </w:rPr>
        <w:t>s</w:t>
      </w:r>
      <w:r w:rsidRPr="00016F13">
        <w:rPr>
          <w:rFonts w:ascii="Arial" w:hAnsi="Arial" w:cs="Arial"/>
          <w:color w:val="000000" w:themeColor="text1"/>
        </w:rPr>
        <w:t xml:space="preserve"> of unstimulated SCAP </w:t>
      </w:r>
      <w:r w:rsidR="00A252BF">
        <w:rPr>
          <w:rFonts w:ascii="Arial" w:hAnsi="Arial" w:cs="Arial"/>
          <w:color w:val="000000" w:themeColor="text1"/>
        </w:rPr>
        <w:t>KO</w:t>
      </w:r>
      <w:r w:rsidRPr="00016F13">
        <w:rPr>
          <w:rFonts w:ascii="Arial" w:hAnsi="Arial" w:cs="Arial"/>
          <w:color w:val="000000" w:themeColor="text1"/>
        </w:rPr>
        <w:t xml:space="preserve"> and WT B cells were largely overlapping, corroborating our findings that SCAP deficiency did not affect B cell development or their metabolic profile at steady state. In contrast, after stimulation with either LPS or </w:t>
      </w:r>
      <w:r w:rsidRPr="00016F13">
        <w:rPr>
          <w:rFonts w:ascii="Cambria Math" w:hAnsi="Cambria Math" w:cs="Cambria Math"/>
          <w:color w:val="000000" w:themeColor="text1"/>
        </w:rPr>
        <w:t>⍺</w:t>
      </w:r>
      <w:r w:rsidRPr="00016F13">
        <w:rPr>
          <w:rFonts w:ascii="Arial" w:hAnsi="Arial" w:cs="Arial"/>
          <w:color w:val="000000" w:themeColor="text1"/>
        </w:rPr>
        <w:t xml:space="preserve">-CD40, SCAP </w:t>
      </w:r>
      <w:r w:rsidR="00B12A64">
        <w:rPr>
          <w:rFonts w:ascii="Arial" w:hAnsi="Arial" w:cs="Arial"/>
          <w:color w:val="000000" w:themeColor="text1"/>
        </w:rPr>
        <w:t>KO</w:t>
      </w:r>
      <w:r w:rsidRPr="00016F13">
        <w:rPr>
          <w:rFonts w:ascii="Arial" w:hAnsi="Arial" w:cs="Arial"/>
          <w:color w:val="000000" w:themeColor="text1"/>
        </w:rPr>
        <w:t xml:space="preserve"> and WT B cells were clearly separated at 24 hours, with an even more pronounced separation at 48 hours. SREBP signaling can </w:t>
      </w:r>
      <w:r w:rsidR="00B12A64">
        <w:rPr>
          <w:rFonts w:ascii="Arial" w:hAnsi="Arial" w:cs="Arial"/>
          <w:color w:val="000000" w:themeColor="text1"/>
        </w:rPr>
        <w:t>regulated the</w:t>
      </w:r>
      <w:r w:rsidRPr="00016F13">
        <w:rPr>
          <w:rFonts w:ascii="Arial" w:hAnsi="Arial" w:cs="Arial"/>
          <w:color w:val="000000" w:themeColor="text1"/>
        </w:rPr>
        <w:t xml:space="preserve"> metabolism of many ceramides and sphingolipids. </w:t>
      </w:r>
      <w:r w:rsidR="00B12A64">
        <w:rPr>
          <w:rFonts w:ascii="Arial" w:hAnsi="Arial" w:cs="Arial"/>
          <w:color w:val="000000" w:themeColor="text1"/>
        </w:rPr>
        <w:t>For example</w:t>
      </w:r>
      <w:r w:rsidRPr="00016F13">
        <w:rPr>
          <w:rFonts w:ascii="Arial" w:hAnsi="Arial" w:cs="Arial"/>
          <w:color w:val="000000" w:themeColor="text1"/>
        </w:rPr>
        <w:t xml:space="preserve">, </w:t>
      </w:r>
      <w:proofErr w:type="spellStart"/>
      <w:r w:rsidRPr="00016F13">
        <w:rPr>
          <w:rFonts w:ascii="Arial" w:hAnsi="Arial" w:cs="Arial"/>
          <w:color w:val="000000" w:themeColor="text1"/>
        </w:rPr>
        <w:t>lactosyl</w:t>
      </w:r>
      <w:proofErr w:type="spellEnd"/>
      <w:r w:rsidRPr="00016F13">
        <w:rPr>
          <w:rFonts w:ascii="Arial" w:hAnsi="Arial" w:cs="Arial"/>
          <w:color w:val="000000" w:themeColor="text1"/>
        </w:rPr>
        <w:t xml:space="preserve">-N-palmitoyl-sphingosine (d18:1/16:0), one of the </w:t>
      </w:r>
      <w:proofErr w:type="spellStart"/>
      <w:r w:rsidRPr="00016F13">
        <w:rPr>
          <w:rFonts w:ascii="Arial" w:hAnsi="Arial" w:cs="Arial"/>
          <w:color w:val="000000" w:themeColor="text1"/>
        </w:rPr>
        <w:t>lactosylceramides</w:t>
      </w:r>
      <w:proofErr w:type="spellEnd"/>
      <w:r w:rsidRPr="00016F13">
        <w:rPr>
          <w:rFonts w:ascii="Arial" w:hAnsi="Arial" w:cs="Arial"/>
          <w:color w:val="000000" w:themeColor="text1"/>
        </w:rPr>
        <w:t xml:space="preserve"> (</w:t>
      </w:r>
      <w:proofErr w:type="spellStart"/>
      <w:r w:rsidRPr="00016F13">
        <w:rPr>
          <w:rFonts w:ascii="Arial" w:hAnsi="Arial" w:cs="Arial"/>
          <w:color w:val="000000" w:themeColor="text1"/>
        </w:rPr>
        <w:t>LacCer</w:t>
      </w:r>
      <w:proofErr w:type="spellEnd"/>
      <w:r w:rsidRPr="00016F13">
        <w:rPr>
          <w:rFonts w:ascii="Arial" w:hAnsi="Arial" w:cs="Arial"/>
          <w:color w:val="000000" w:themeColor="text1"/>
        </w:rPr>
        <w:t xml:space="preserve">), is highly accumulated in SCAP </w:t>
      </w:r>
      <w:r w:rsidR="00B12A64">
        <w:rPr>
          <w:rFonts w:ascii="Arial" w:hAnsi="Arial" w:cs="Arial"/>
          <w:color w:val="000000" w:themeColor="text1"/>
        </w:rPr>
        <w:t>KO</w:t>
      </w:r>
      <w:r w:rsidRPr="00016F13">
        <w:rPr>
          <w:rFonts w:ascii="Arial" w:hAnsi="Arial" w:cs="Arial"/>
          <w:color w:val="000000" w:themeColor="text1"/>
        </w:rPr>
        <w:t xml:space="preserve"> B cells activated by either </w:t>
      </w:r>
      <w:r w:rsidRPr="00016F13">
        <w:rPr>
          <w:rFonts w:ascii="Cambria Math" w:hAnsi="Cambria Math" w:cs="Cambria Math"/>
          <w:color w:val="000000" w:themeColor="text1"/>
        </w:rPr>
        <w:t>⍺</w:t>
      </w:r>
      <w:r w:rsidRPr="00016F13">
        <w:rPr>
          <w:rFonts w:ascii="Arial" w:hAnsi="Arial" w:cs="Arial"/>
          <w:color w:val="000000" w:themeColor="text1"/>
        </w:rPr>
        <w:t>-CD40 or LPS</w:t>
      </w:r>
      <w:r w:rsidR="00B12A64">
        <w:rPr>
          <w:rFonts w:ascii="Arial" w:hAnsi="Arial" w:cs="Arial"/>
          <w:color w:val="000000" w:themeColor="text1"/>
        </w:rPr>
        <w:t xml:space="preserve">. </w:t>
      </w:r>
      <w:r w:rsidRPr="00016F13">
        <w:rPr>
          <w:rFonts w:ascii="Arial" w:hAnsi="Arial" w:cs="Arial"/>
          <w:color w:val="000000" w:themeColor="text1"/>
        </w:rPr>
        <w:t>Strikingly, besides lipid metabolism, SCAP deficiency also alters many other metabolites that belong to different metabolic pathways such as energy, amino acids, peptide, cofactors and vitamins, nucleotide, carbohydrate, and xenobiotics</w:t>
      </w:r>
      <w:r w:rsidR="004868F0">
        <w:rPr>
          <w:rFonts w:ascii="Arial" w:hAnsi="Arial" w:cs="Arial"/>
          <w:color w:val="000000" w:themeColor="text1"/>
        </w:rPr>
        <w:t>.</w:t>
      </w:r>
      <w:r w:rsidRPr="00016F13">
        <w:rPr>
          <w:rFonts w:ascii="Arial" w:hAnsi="Arial" w:cs="Arial"/>
          <w:color w:val="000000" w:themeColor="text1"/>
        </w:rPr>
        <w:t xml:space="preserve"> Taken together, the metabolomics analysis revealed previously unrecognized roles of SREBP signaling in regulating multiple cellular activities in activated B cells.</w:t>
      </w:r>
    </w:p>
    <w:p w14:paraId="4A61CA58" w14:textId="28EDB0EA" w:rsidR="00453D87" w:rsidRPr="00D10D58" w:rsidRDefault="00453D87">
      <w:pPr>
        <w:rPr>
          <w:rFonts w:ascii="Arial" w:hAnsi="Arial" w:cs="Arial"/>
        </w:rPr>
      </w:pPr>
    </w:p>
    <w:p w14:paraId="3E2C5865" w14:textId="46480337" w:rsidR="00DB0AFD" w:rsidRPr="00D10D58" w:rsidRDefault="00DB0AFD">
      <w:pPr>
        <w:rPr>
          <w:rFonts w:ascii="Arial" w:hAnsi="Arial" w:cs="Arial"/>
        </w:rPr>
      </w:pPr>
    </w:p>
    <w:p w14:paraId="6905B69C" w14:textId="4135A357" w:rsidR="00D10D58" w:rsidRPr="00D10D58" w:rsidRDefault="00D10D58">
      <w:pPr>
        <w:rPr>
          <w:rFonts w:ascii="Arial" w:hAnsi="Arial" w:cs="Arial"/>
          <w:b/>
          <w:bCs/>
        </w:rPr>
      </w:pPr>
      <w:r w:rsidRPr="00D10D58">
        <w:rPr>
          <w:rFonts w:ascii="Arial" w:hAnsi="Arial" w:cs="Arial"/>
          <w:b/>
          <w:bCs/>
        </w:rPr>
        <w:t>B cell isolation and treatment</w:t>
      </w:r>
      <w:r>
        <w:rPr>
          <w:rFonts w:ascii="Arial" w:hAnsi="Arial" w:cs="Arial"/>
          <w:b/>
          <w:bCs/>
        </w:rPr>
        <w:t>s</w:t>
      </w:r>
    </w:p>
    <w:p w14:paraId="5459CABA" w14:textId="77777777" w:rsidR="00D10D58" w:rsidRDefault="00D10D58">
      <w:pPr>
        <w:rPr>
          <w:rFonts w:ascii="Arial" w:hAnsi="Arial" w:cs="Arial"/>
        </w:rPr>
      </w:pPr>
    </w:p>
    <w:p w14:paraId="53B03DBB" w14:textId="3C2C521F" w:rsidR="00DB0AFD" w:rsidRPr="00D10D58" w:rsidRDefault="00D10D58">
      <w:pPr>
        <w:rPr>
          <w:rFonts w:ascii="Arial" w:hAnsi="Arial" w:cs="Arial"/>
        </w:rPr>
      </w:pPr>
      <w:r>
        <w:rPr>
          <w:rFonts w:ascii="Arial" w:hAnsi="Arial" w:cs="Arial"/>
        </w:rPr>
        <w:t>Mouse s</w:t>
      </w:r>
      <w:r w:rsidRPr="00D10D58">
        <w:rPr>
          <w:rFonts w:ascii="Arial" w:hAnsi="Arial" w:cs="Arial"/>
        </w:rPr>
        <w:t xml:space="preserve">plenic B cells </w:t>
      </w:r>
      <w:r>
        <w:rPr>
          <w:rFonts w:ascii="Arial" w:hAnsi="Arial" w:cs="Arial"/>
        </w:rPr>
        <w:t xml:space="preserve">were </w:t>
      </w:r>
      <w:r w:rsidRPr="00D10D58">
        <w:rPr>
          <w:rFonts w:ascii="Arial" w:hAnsi="Arial" w:cs="Arial"/>
        </w:rPr>
        <w:t>isolated from SCAP</w:t>
      </w:r>
      <w:r w:rsidRPr="00D10D58">
        <w:rPr>
          <w:rFonts w:ascii="Arial" w:hAnsi="Arial" w:cs="Arial"/>
          <w:vertAlign w:val="superscript"/>
        </w:rPr>
        <w:t>+/+</w:t>
      </w:r>
      <w:r w:rsidRPr="00D10D58">
        <w:rPr>
          <w:rFonts w:ascii="Arial" w:hAnsi="Arial" w:cs="Arial"/>
        </w:rPr>
        <w:t xml:space="preserve"> CD19-Cre (WT) and </w:t>
      </w:r>
      <w:proofErr w:type="spellStart"/>
      <w:r w:rsidRPr="00D10D58">
        <w:rPr>
          <w:rFonts w:ascii="Arial" w:hAnsi="Arial" w:cs="Arial"/>
        </w:rPr>
        <w:t>SCAP</w:t>
      </w:r>
      <w:r w:rsidRPr="00D10D58">
        <w:rPr>
          <w:rFonts w:ascii="Arial" w:hAnsi="Arial" w:cs="Arial"/>
          <w:vertAlign w:val="superscript"/>
        </w:rPr>
        <w:t>fl</w:t>
      </w:r>
      <w:proofErr w:type="spellEnd"/>
      <w:r w:rsidRPr="00D10D58">
        <w:rPr>
          <w:rFonts w:ascii="Arial" w:hAnsi="Arial" w:cs="Arial"/>
          <w:vertAlign w:val="superscript"/>
        </w:rPr>
        <w:t>/</w:t>
      </w:r>
      <w:proofErr w:type="spellStart"/>
      <w:r w:rsidRPr="00D10D58">
        <w:rPr>
          <w:rFonts w:ascii="Arial" w:hAnsi="Arial" w:cs="Arial"/>
          <w:vertAlign w:val="superscript"/>
        </w:rPr>
        <w:t>fl</w:t>
      </w:r>
      <w:proofErr w:type="spellEnd"/>
      <w:r w:rsidRPr="00D10D58">
        <w:rPr>
          <w:rFonts w:ascii="Arial" w:hAnsi="Arial" w:cs="Arial"/>
          <w:vertAlign w:val="superscript"/>
        </w:rPr>
        <w:t xml:space="preserve"> </w:t>
      </w:r>
      <w:r w:rsidRPr="00D10D58">
        <w:rPr>
          <w:rFonts w:ascii="Arial" w:hAnsi="Arial" w:cs="Arial"/>
        </w:rPr>
        <w:t>CD19-Cre (KO) mice using STEM CELL B cell isolation kit (Cat:19854)</w:t>
      </w:r>
      <w:r>
        <w:rPr>
          <w:rFonts w:ascii="Arial" w:hAnsi="Arial" w:cs="Arial"/>
        </w:rPr>
        <w:t xml:space="preserve">. Cells </w:t>
      </w:r>
      <w:r w:rsidRPr="00D10D58">
        <w:rPr>
          <w:rFonts w:ascii="Arial" w:hAnsi="Arial" w:cs="Arial"/>
        </w:rPr>
        <w:t xml:space="preserve">were stimulated with 10 </w:t>
      </w:r>
      <w:r w:rsidRPr="00D10D58">
        <w:rPr>
          <w:rFonts w:ascii="Symbol" w:hAnsi="Symbol" w:cs="Arial"/>
        </w:rPr>
        <w:t>m</w:t>
      </w:r>
      <w:r w:rsidRPr="00D10D58">
        <w:rPr>
          <w:rFonts w:ascii="Arial" w:hAnsi="Arial" w:cs="Arial"/>
        </w:rPr>
        <w:t xml:space="preserve">g/ml LPS or 5 </w:t>
      </w:r>
      <w:r w:rsidRPr="00D10D58">
        <w:rPr>
          <w:rFonts w:ascii="Symbol" w:hAnsi="Symbol" w:cs="Arial"/>
        </w:rPr>
        <w:t>m</w:t>
      </w:r>
      <w:r w:rsidRPr="00D10D58">
        <w:rPr>
          <w:rFonts w:ascii="Arial" w:hAnsi="Arial" w:cs="Arial"/>
        </w:rPr>
        <w:t>g/ml anti-CD40 for 24 and 48 hours. Freshly isolated untreated WT and KO B cells were used as untreated control.</w:t>
      </w:r>
      <w:r>
        <w:rPr>
          <w:rFonts w:ascii="Arial" w:hAnsi="Arial" w:cs="Arial"/>
        </w:rPr>
        <w:t xml:space="preserve"> </w:t>
      </w:r>
    </w:p>
    <w:p w14:paraId="27628E96" w14:textId="0B04D9B3" w:rsidR="003F7D43" w:rsidRPr="00D10D58" w:rsidRDefault="003F7D43">
      <w:pPr>
        <w:rPr>
          <w:rFonts w:ascii="Arial" w:hAnsi="Arial" w:cs="Arial"/>
        </w:rPr>
      </w:pPr>
    </w:p>
    <w:p w14:paraId="66C07328" w14:textId="14A2C0CF" w:rsidR="00D10D58" w:rsidRPr="00D10D58" w:rsidRDefault="00D10D58" w:rsidP="00D10D58">
      <w:pPr>
        <w:spacing w:line="360" w:lineRule="auto"/>
        <w:jc w:val="both"/>
        <w:rPr>
          <w:rFonts w:ascii="Arial" w:hAnsi="Arial" w:cs="Arial"/>
          <w:b/>
          <w:bCs/>
          <w:color w:val="000000" w:themeColor="text1"/>
        </w:rPr>
      </w:pPr>
      <w:r w:rsidRPr="00D10D58">
        <w:rPr>
          <w:rFonts w:ascii="Arial" w:hAnsi="Arial" w:cs="Arial"/>
          <w:b/>
          <w:bCs/>
          <w:color w:val="000000" w:themeColor="text1"/>
        </w:rPr>
        <w:t>Metabolomics</w:t>
      </w:r>
      <w:r>
        <w:rPr>
          <w:rFonts w:ascii="Arial" w:hAnsi="Arial" w:cs="Arial"/>
          <w:b/>
          <w:bCs/>
          <w:color w:val="000000" w:themeColor="text1"/>
        </w:rPr>
        <w:t xml:space="preserve"> Analysis</w:t>
      </w:r>
    </w:p>
    <w:p w14:paraId="000EB062" w14:textId="52C2EE6A" w:rsidR="00D10D58" w:rsidRPr="00D10D58" w:rsidRDefault="00D10D58" w:rsidP="00D10D58">
      <w:pPr>
        <w:spacing w:line="360" w:lineRule="auto"/>
        <w:jc w:val="both"/>
        <w:rPr>
          <w:rFonts w:ascii="Arial" w:hAnsi="Arial" w:cs="Arial"/>
          <w:color w:val="000000" w:themeColor="text1"/>
        </w:rPr>
      </w:pPr>
      <w:r w:rsidRPr="00D10D58">
        <w:rPr>
          <w:rFonts w:ascii="Arial" w:hAnsi="Arial" w:cs="Arial"/>
          <w:color w:val="000000" w:themeColor="text1"/>
        </w:rPr>
        <w:t xml:space="preserve">Sample preparation: Proteins were precipitated with methanol under vigorous shaking for 2 min (Glen Mills </w:t>
      </w:r>
      <w:proofErr w:type="spellStart"/>
      <w:r w:rsidRPr="00D10D58">
        <w:rPr>
          <w:rFonts w:ascii="Arial" w:hAnsi="Arial" w:cs="Arial"/>
          <w:color w:val="000000" w:themeColor="text1"/>
        </w:rPr>
        <w:t>GenoGrinder</w:t>
      </w:r>
      <w:proofErr w:type="spellEnd"/>
      <w:r w:rsidRPr="00D10D58">
        <w:rPr>
          <w:rFonts w:ascii="Arial" w:hAnsi="Arial" w:cs="Arial"/>
          <w:color w:val="000000" w:themeColor="text1"/>
        </w:rPr>
        <w:t xml:space="preserve"> 2000) followed by centrifugation. The resulting extract was </w:t>
      </w:r>
      <w:r w:rsidRPr="00D10D58">
        <w:rPr>
          <w:rFonts w:ascii="Arial" w:hAnsi="Arial" w:cs="Arial"/>
          <w:color w:val="000000" w:themeColor="text1"/>
        </w:rPr>
        <w:lastRenderedPageBreak/>
        <w:t xml:space="preserve">divided into five fractions: two for analysis by two separate reverse phases (RP)/UPLC-MS/MS methods with positive ion mode electrospray ionization (ESI), one for analysis by RP/UPLC-MS/MS with negative ion mode ESI, one for analysis by HILIC/UPLC-MS/MS with negative ion mode ESI, and one sample was reserved for backup. Samples were placed briefly on a </w:t>
      </w:r>
      <w:proofErr w:type="spellStart"/>
      <w:r w:rsidRPr="00D10D58">
        <w:rPr>
          <w:rFonts w:ascii="Arial" w:hAnsi="Arial" w:cs="Arial"/>
          <w:color w:val="000000" w:themeColor="text1"/>
        </w:rPr>
        <w:t>TurboVap</w:t>
      </w:r>
      <w:proofErr w:type="spellEnd"/>
      <w:r w:rsidRPr="00D10D58">
        <w:rPr>
          <w:rFonts w:ascii="Arial" w:hAnsi="Arial" w:cs="Arial"/>
          <w:color w:val="000000" w:themeColor="text1"/>
        </w:rPr>
        <w:t>® (</w:t>
      </w:r>
      <w:proofErr w:type="spellStart"/>
      <w:r w:rsidRPr="00D10D58">
        <w:rPr>
          <w:rFonts w:ascii="Arial" w:hAnsi="Arial" w:cs="Arial"/>
          <w:color w:val="000000" w:themeColor="text1"/>
        </w:rPr>
        <w:t>Zymark</w:t>
      </w:r>
      <w:proofErr w:type="spellEnd"/>
      <w:r w:rsidRPr="00D10D58">
        <w:rPr>
          <w:rFonts w:ascii="Arial" w:hAnsi="Arial" w:cs="Arial"/>
          <w:color w:val="000000" w:themeColor="text1"/>
        </w:rPr>
        <w:t xml:space="preserve">) to remove the organic solvent.  The sample extracts were stored overnight under nitrogen before preparation for analysis.  </w:t>
      </w:r>
    </w:p>
    <w:p w14:paraId="4E9153D3" w14:textId="77777777" w:rsidR="00D10D58" w:rsidRPr="00D10D58" w:rsidRDefault="00D10D58" w:rsidP="00D10D58">
      <w:pPr>
        <w:spacing w:line="360" w:lineRule="auto"/>
        <w:jc w:val="both"/>
        <w:rPr>
          <w:rFonts w:ascii="Arial" w:hAnsi="Arial" w:cs="Arial"/>
          <w:color w:val="000000" w:themeColor="text1"/>
        </w:rPr>
      </w:pPr>
    </w:p>
    <w:p w14:paraId="3849B6A5" w14:textId="77777777" w:rsidR="00D10D58" w:rsidRPr="00D10D58" w:rsidRDefault="00D10D58" w:rsidP="00D10D58">
      <w:pPr>
        <w:spacing w:line="360" w:lineRule="auto"/>
        <w:jc w:val="both"/>
        <w:rPr>
          <w:rFonts w:ascii="Arial" w:hAnsi="Arial" w:cs="Arial"/>
          <w:color w:val="000000" w:themeColor="text1"/>
        </w:rPr>
      </w:pPr>
      <w:r w:rsidRPr="00D10D58">
        <w:rPr>
          <w:rFonts w:ascii="Arial" w:hAnsi="Arial" w:cs="Arial"/>
          <w:color w:val="000000" w:themeColor="text1"/>
        </w:rPr>
        <w:t xml:space="preserve">Ultrahigh Performance Liquid Chromatography-Tandem Mass Spectroscopy (UPLC-MS/MS): All methods utilized a Waters ACQUITY ultra-performance liquid chromatography (UPLC) and a </w:t>
      </w:r>
      <w:proofErr w:type="spellStart"/>
      <w:r w:rsidRPr="00D10D58">
        <w:rPr>
          <w:rFonts w:ascii="Arial" w:hAnsi="Arial" w:cs="Arial"/>
          <w:color w:val="000000" w:themeColor="text1"/>
        </w:rPr>
        <w:t>Thermo</w:t>
      </w:r>
      <w:proofErr w:type="spellEnd"/>
      <w:r w:rsidRPr="00D10D58">
        <w:rPr>
          <w:rFonts w:ascii="Arial" w:hAnsi="Arial" w:cs="Arial"/>
          <w:color w:val="000000" w:themeColor="text1"/>
        </w:rPr>
        <w:t xml:space="preserve"> Scientific Q-</w:t>
      </w:r>
      <w:proofErr w:type="spellStart"/>
      <w:r w:rsidRPr="00D10D58">
        <w:rPr>
          <w:rFonts w:ascii="Arial" w:hAnsi="Arial" w:cs="Arial"/>
          <w:color w:val="000000" w:themeColor="text1"/>
        </w:rPr>
        <w:t>Exactive</w:t>
      </w:r>
      <w:proofErr w:type="spellEnd"/>
      <w:r w:rsidRPr="00D10D58">
        <w:rPr>
          <w:rFonts w:ascii="Arial" w:hAnsi="Arial" w:cs="Arial"/>
          <w:color w:val="000000" w:themeColor="text1"/>
        </w:rPr>
        <w:t xml:space="preserve"> high resolution/accurate mass spectrometer interfaced with a heated electrospray ionization (HESI-II) source and Orbitrap mass analyzer operated at 35,000 mass resolution.  The sample extract was dried then reconstituted in solvents compatible with each of the four methods. Each reconstitution solvent contained a series of standards at fixed concentrations to ensure injection and chromatographic consistency.  One aliquot was analyzed using acidic positive ion conditions, chromatographically optimized for more hydrophilic compounds. In this method, the extract was gradient eluted from a C18 column (Waters UPLC BEH C18-2.1x100 mm, 1.7 µm) using water and methanol, containing 0.05% </w:t>
      </w:r>
      <w:proofErr w:type="spellStart"/>
      <w:r w:rsidRPr="00D10D58">
        <w:rPr>
          <w:rFonts w:ascii="Arial" w:hAnsi="Arial" w:cs="Arial"/>
          <w:color w:val="000000" w:themeColor="text1"/>
        </w:rPr>
        <w:t>perfluoropentanoic</w:t>
      </w:r>
      <w:proofErr w:type="spellEnd"/>
      <w:r w:rsidRPr="00D10D58">
        <w:rPr>
          <w:rFonts w:ascii="Arial" w:hAnsi="Arial" w:cs="Arial"/>
          <w:color w:val="000000" w:themeColor="text1"/>
        </w:rPr>
        <w:t xml:space="preserve"> acid (PFPA) and 0.1% formic acid (FA).  Another aliquot was also analyzed using acidic positive ion conditions; </w:t>
      </w:r>
      <w:proofErr w:type="gramStart"/>
      <w:r w:rsidRPr="00D10D58">
        <w:rPr>
          <w:rFonts w:ascii="Arial" w:hAnsi="Arial" w:cs="Arial"/>
          <w:color w:val="000000" w:themeColor="text1"/>
        </w:rPr>
        <w:t>however</w:t>
      </w:r>
      <w:proofErr w:type="gramEnd"/>
      <w:r w:rsidRPr="00D10D58">
        <w:rPr>
          <w:rFonts w:ascii="Arial" w:hAnsi="Arial" w:cs="Arial"/>
          <w:color w:val="000000" w:themeColor="text1"/>
        </w:rPr>
        <w:t xml:space="preserve"> it was chromatographically optimized for more hydrophobic compounds.  In this method, the extract was gradient eluted from the same </w:t>
      </w:r>
      <w:proofErr w:type="gramStart"/>
      <w:r w:rsidRPr="00D10D58">
        <w:rPr>
          <w:rFonts w:ascii="Arial" w:hAnsi="Arial" w:cs="Arial"/>
          <w:color w:val="000000" w:themeColor="text1"/>
        </w:rPr>
        <w:t>aforementioned C18</w:t>
      </w:r>
      <w:proofErr w:type="gramEnd"/>
      <w:r w:rsidRPr="00D10D58">
        <w:rPr>
          <w:rFonts w:ascii="Arial" w:hAnsi="Arial" w:cs="Arial"/>
          <w:color w:val="000000" w:themeColor="text1"/>
        </w:rPr>
        <w:t xml:space="preserve"> column using methanol, acetonitrile, water, 0.05% PFPA and 0.01% FA and was operated at an overall higher organic content.  Another aliquot was analyzed using basic negative ion optimized conditions using a separate dedicated C18 column.   The basic extracts were gradient eluted from the column using methanol and water, however with 6.5mM Ammonium Bicarbonate at pH 8. The fourth aliquot was analyzed via negative ionization following elution from a HILIC column (Waters UPLC BEH Amide 2.1x150 mm, 1.7 µm) using a gradient consisting of water and acetonitrile with 10mM Ammonium </w:t>
      </w:r>
      <w:proofErr w:type="spellStart"/>
      <w:r w:rsidRPr="00D10D58">
        <w:rPr>
          <w:rFonts w:ascii="Arial" w:hAnsi="Arial" w:cs="Arial"/>
          <w:color w:val="000000" w:themeColor="text1"/>
        </w:rPr>
        <w:t>Formate</w:t>
      </w:r>
      <w:proofErr w:type="spellEnd"/>
      <w:r w:rsidRPr="00D10D58">
        <w:rPr>
          <w:rFonts w:ascii="Arial" w:hAnsi="Arial" w:cs="Arial"/>
          <w:color w:val="000000" w:themeColor="text1"/>
        </w:rPr>
        <w:t xml:space="preserve">, pH 10.8. The MS analysis alternated between MS and data-dependent </w:t>
      </w:r>
      <w:proofErr w:type="spellStart"/>
      <w:r w:rsidRPr="00D10D58">
        <w:rPr>
          <w:rFonts w:ascii="Arial" w:hAnsi="Arial" w:cs="Arial"/>
          <w:color w:val="000000" w:themeColor="text1"/>
        </w:rPr>
        <w:t>MSn</w:t>
      </w:r>
      <w:proofErr w:type="spellEnd"/>
      <w:r w:rsidRPr="00D10D58">
        <w:rPr>
          <w:rFonts w:ascii="Arial" w:hAnsi="Arial" w:cs="Arial"/>
          <w:color w:val="000000" w:themeColor="text1"/>
        </w:rPr>
        <w:t xml:space="preserve"> scans using dynamic exclusion.  The scan range varied slightly between methods but covered 70-1000 m/z.</w:t>
      </w:r>
    </w:p>
    <w:p w14:paraId="7EF0BC1E" w14:textId="77777777" w:rsidR="00D10D58" w:rsidRPr="00D10D58" w:rsidRDefault="00D10D58" w:rsidP="00D10D58">
      <w:pPr>
        <w:spacing w:line="360" w:lineRule="auto"/>
        <w:jc w:val="both"/>
        <w:rPr>
          <w:rFonts w:ascii="Arial" w:hAnsi="Arial" w:cs="Arial"/>
          <w:color w:val="000000" w:themeColor="text1"/>
        </w:rPr>
      </w:pPr>
    </w:p>
    <w:p w14:paraId="746DC57A" w14:textId="77777777" w:rsidR="00D10D58" w:rsidRPr="00D10D58" w:rsidRDefault="00D10D58" w:rsidP="00D10D58">
      <w:pPr>
        <w:spacing w:line="360" w:lineRule="auto"/>
        <w:jc w:val="both"/>
        <w:rPr>
          <w:rFonts w:ascii="Arial" w:hAnsi="Arial" w:cs="Arial"/>
          <w:color w:val="000000" w:themeColor="text1"/>
        </w:rPr>
      </w:pPr>
      <w:r w:rsidRPr="00D10D58">
        <w:rPr>
          <w:rFonts w:ascii="Arial" w:hAnsi="Arial" w:cs="Arial"/>
          <w:color w:val="000000" w:themeColor="text1"/>
        </w:rPr>
        <w:t>Data Extraction and Compound Identification:  Raw data was extracted, peak-identified and QC processed using Metabolon’s hardware and software.  Compounds were identified by comparison to library entries of purified standards or recurrent unknown entities.  Metabolon maintains a library based on authenticated standards that contain the retention time/index (RI), mass to charge ratio (m/z), and chromatographic data (including MS/MS spectral data) on all molecules present in the library.  Furthermore, biochemical identifications are based on three criteria: retention index within a narrow RI window of the proposed identification, accurate mass match to the library +/- 10 ppm, and the MS/MS forward and reverse scores between the experimental data and authentic standards.</w:t>
      </w:r>
    </w:p>
    <w:p w14:paraId="323DDFD1" w14:textId="77777777" w:rsidR="00D10D58" w:rsidRPr="00D10D58" w:rsidRDefault="00D10D58" w:rsidP="00D10D58">
      <w:pPr>
        <w:spacing w:line="360" w:lineRule="auto"/>
        <w:jc w:val="both"/>
        <w:rPr>
          <w:rFonts w:ascii="Arial" w:hAnsi="Arial" w:cs="Arial"/>
          <w:color w:val="000000" w:themeColor="text1"/>
        </w:rPr>
      </w:pPr>
    </w:p>
    <w:p w14:paraId="0AC03091" w14:textId="77777777" w:rsidR="00D10D58" w:rsidRPr="00D10D58" w:rsidRDefault="00D10D58" w:rsidP="00D10D58">
      <w:pPr>
        <w:spacing w:line="360" w:lineRule="auto"/>
        <w:jc w:val="both"/>
        <w:rPr>
          <w:rFonts w:ascii="Arial" w:hAnsi="Arial" w:cs="Arial"/>
          <w:color w:val="000000" w:themeColor="text1"/>
        </w:rPr>
      </w:pPr>
      <w:r w:rsidRPr="00D10D58">
        <w:rPr>
          <w:rFonts w:ascii="Arial" w:hAnsi="Arial" w:cs="Arial"/>
          <w:color w:val="000000" w:themeColor="text1"/>
        </w:rPr>
        <w:t>Metabolite Quantification and Data Normalization: Peaks were quantified using area-under-the-curve. Metabolite data were then normalized to total protein (as determined by Bradford assay) to account for differences in the amount of material present in each sample.</w:t>
      </w:r>
    </w:p>
    <w:p w14:paraId="54206D43" w14:textId="2879E12E" w:rsidR="003F7D43" w:rsidRPr="00D10D58" w:rsidRDefault="003F7D43" w:rsidP="00D10D58">
      <w:pPr>
        <w:rPr>
          <w:rFonts w:ascii="Arial" w:hAnsi="Arial" w:cs="Arial"/>
        </w:rPr>
      </w:pPr>
    </w:p>
    <w:sectPr w:rsidR="003F7D43" w:rsidRPr="00D10D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AFD"/>
    <w:rsid w:val="000075EE"/>
    <w:rsid w:val="000151D0"/>
    <w:rsid w:val="000215B8"/>
    <w:rsid w:val="000240A2"/>
    <w:rsid w:val="00027E2E"/>
    <w:rsid w:val="00043617"/>
    <w:rsid w:val="00060C4D"/>
    <w:rsid w:val="00063595"/>
    <w:rsid w:val="0006585D"/>
    <w:rsid w:val="000733EA"/>
    <w:rsid w:val="000B0DCE"/>
    <w:rsid w:val="000B2A56"/>
    <w:rsid w:val="000B4B52"/>
    <w:rsid w:val="000C029B"/>
    <w:rsid w:val="00110566"/>
    <w:rsid w:val="00124288"/>
    <w:rsid w:val="001522CA"/>
    <w:rsid w:val="001627EC"/>
    <w:rsid w:val="00170292"/>
    <w:rsid w:val="00177A0D"/>
    <w:rsid w:val="001859F5"/>
    <w:rsid w:val="001967AB"/>
    <w:rsid w:val="001A0D88"/>
    <w:rsid w:val="001A76D7"/>
    <w:rsid w:val="001A79F0"/>
    <w:rsid w:val="001B33F3"/>
    <w:rsid w:val="001C528D"/>
    <w:rsid w:val="001D4D8E"/>
    <w:rsid w:val="001D6014"/>
    <w:rsid w:val="00217DAF"/>
    <w:rsid w:val="00237658"/>
    <w:rsid w:val="00245EE3"/>
    <w:rsid w:val="00252CC8"/>
    <w:rsid w:val="00290A13"/>
    <w:rsid w:val="002B1450"/>
    <w:rsid w:val="002B15CC"/>
    <w:rsid w:val="002B2D04"/>
    <w:rsid w:val="002F44CF"/>
    <w:rsid w:val="0032190F"/>
    <w:rsid w:val="00324825"/>
    <w:rsid w:val="00341811"/>
    <w:rsid w:val="00343F98"/>
    <w:rsid w:val="00344732"/>
    <w:rsid w:val="003509B3"/>
    <w:rsid w:val="00357BBD"/>
    <w:rsid w:val="00372F71"/>
    <w:rsid w:val="003C17FD"/>
    <w:rsid w:val="003C539D"/>
    <w:rsid w:val="003F7D43"/>
    <w:rsid w:val="00403FAB"/>
    <w:rsid w:val="0041757D"/>
    <w:rsid w:val="00427229"/>
    <w:rsid w:val="00437C43"/>
    <w:rsid w:val="00453D87"/>
    <w:rsid w:val="004868F0"/>
    <w:rsid w:val="004A0F62"/>
    <w:rsid w:val="004A1B8A"/>
    <w:rsid w:val="004B6AA6"/>
    <w:rsid w:val="004B7B3A"/>
    <w:rsid w:val="004F48BC"/>
    <w:rsid w:val="00500782"/>
    <w:rsid w:val="00502B31"/>
    <w:rsid w:val="00512FD8"/>
    <w:rsid w:val="00521F91"/>
    <w:rsid w:val="00524980"/>
    <w:rsid w:val="005360E5"/>
    <w:rsid w:val="00556F50"/>
    <w:rsid w:val="00557F90"/>
    <w:rsid w:val="00572818"/>
    <w:rsid w:val="005761E2"/>
    <w:rsid w:val="0057753C"/>
    <w:rsid w:val="0058502E"/>
    <w:rsid w:val="00585B5F"/>
    <w:rsid w:val="005B25A5"/>
    <w:rsid w:val="005B32BA"/>
    <w:rsid w:val="005C0F0B"/>
    <w:rsid w:val="005C2ED0"/>
    <w:rsid w:val="005D7893"/>
    <w:rsid w:val="005E3224"/>
    <w:rsid w:val="005E711A"/>
    <w:rsid w:val="00612F8F"/>
    <w:rsid w:val="00632284"/>
    <w:rsid w:val="00635E1C"/>
    <w:rsid w:val="006A084A"/>
    <w:rsid w:val="006D2190"/>
    <w:rsid w:val="006E40B3"/>
    <w:rsid w:val="006F5611"/>
    <w:rsid w:val="00726B4A"/>
    <w:rsid w:val="0073415E"/>
    <w:rsid w:val="0074054D"/>
    <w:rsid w:val="00754125"/>
    <w:rsid w:val="00767913"/>
    <w:rsid w:val="00791D7F"/>
    <w:rsid w:val="00794BE4"/>
    <w:rsid w:val="00794D29"/>
    <w:rsid w:val="007F0A01"/>
    <w:rsid w:val="0080154A"/>
    <w:rsid w:val="00813AEF"/>
    <w:rsid w:val="008352B4"/>
    <w:rsid w:val="00861B7A"/>
    <w:rsid w:val="0089000D"/>
    <w:rsid w:val="008910AD"/>
    <w:rsid w:val="00897C11"/>
    <w:rsid w:val="008C207A"/>
    <w:rsid w:val="008E1451"/>
    <w:rsid w:val="008E1D0A"/>
    <w:rsid w:val="008E46F1"/>
    <w:rsid w:val="008F0F7C"/>
    <w:rsid w:val="00907F51"/>
    <w:rsid w:val="00913B06"/>
    <w:rsid w:val="00920F35"/>
    <w:rsid w:val="00972A21"/>
    <w:rsid w:val="009A077B"/>
    <w:rsid w:val="009C0746"/>
    <w:rsid w:val="009D4FC2"/>
    <w:rsid w:val="009D54FF"/>
    <w:rsid w:val="009D5A33"/>
    <w:rsid w:val="009E3465"/>
    <w:rsid w:val="00A0371B"/>
    <w:rsid w:val="00A252BF"/>
    <w:rsid w:val="00A36D8F"/>
    <w:rsid w:val="00A60B7A"/>
    <w:rsid w:val="00A75FEB"/>
    <w:rsid w:val="00A81079"/>
    <w:rsid w:val="00A8573F"/>
    <w:rsid w:val="00AA712E"/>
    <w:rsid w:val="00AB6610"/>
    <w:rsid w:val="00AC4B23"/>
    <w:rsid w:val="00AC72A9"/>
    <w:rsid w:val="00AE6B12"/>
    <w:rsid w:val="00B12A64"/>
    <w:rsid w:val="00B15D47"/>
    <w:rsid w:val="00B16136"/>
    <w:rsid w:val="00B439C2"/>
    <w:rsid w:val="00B63B26"/>
    <w:rsid w:val="00B734F1"/>
    <w:rsid w:val="00B73905"/>
    <w:rsid w:val="00BA24F9"/>
    <w:rsid w:val="00BB3126"/>
    <w:rsid w:val="00BC141A"/>
    <w:rsid w:val="00BD6DA9"/>
    <w:rsid w:val="00BD788F"/>
    <w:rsid w:val="00BF2010"/>
    <w:rsid w:val="00C32C77"/>
    <w:rsid w:val="00C66CDE"/>
    <w:rsid w:val="00C91744"/>
    <w:rsid w:val="00CB2E68"/>
    <w:rsid w:val="00CC659D"/>
    <w:rsid w:val="00CE17D7"/>
    <w:rsid w:val="00CE71E7"/>
    <w:rsid w:val="00CE72FD"/>
    <w:rsid w:val="00CF3F31"/>
    <w:rsid w:val="00CF4428"/>
    <w:rsid w:val="00CF7792"/>
    <w:rsid w:val="00D10D58"/>
    <w:rsid w:val="00D30D65"/>
    <w:rsid w:val="00D43AC3"/>
    <w:rsid w:val="00D60F43"/>
    <w:rsid w:val="00D75FE1"/>
    <w:rsid w:val="00D9080B"/>
    <w:rsid w:val="00D97684"/>
    <w:rsid w:val="00DB0AFD"/>
    <w:rsid w:val="00DD3592"/>
    <w:rsid w:val="00DD4ED7"/>
    <w:rsid w:val="00DF16EA"/>
    <w:rsid w:val="00DF2F64"/>
    <w:rsid w:val="00E20736"/>
    <w:rsid w:val="00E5112D"/>
    <w:rsid w:val="00E56558"/>
    <w:rsid w:val="00E907A6"/>
    <w:rsid w:val="00EC3D9C"/>
    <w:rsid w:val="00ED2A61"/>
    <w:rsid w:val="00EF45B9"/>
    <w:rsid w:val="00F02EE9"/>
    <w:rsid w:val="00F31D93"/>
    <w:rsid w:val="00F40E3D"/>
    <w:rsid w:val="00F437E0"/>
    <w:rsid w:val="00F54F66"/>
    <w:rsid w:val="00F839B2"/>
    <w:rsid w:val="00F855E1"/>
    <w:rsid w:val="00F86514"/>
    <w:rsid w:val="00FD2759"/>
    <w:rsid w:val="00FD2D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052392"/>
  <w15:chartTrackingRefBased/>
  <w15:docId w15:val="{CDD362CF-7D58-A24E-8358-3BDCC051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Wei</dc:creator>
  <cp:keywords/>
  <dc:description/>
  <cp:lastModifiedBy>Luo, Wei</cp:lastModifiedBy>
  <cp:revision>20</cp:revision>
  <dcterms:created xsi:type="dcterms:W3CDTF">2022-10-19T21:02:00Z</dcterms:created>
  <dcterms:modified xsi:type="dcterms:W3CDTF">2022-10-21T02:32:00Z</dcterms:modified>
</cp:coreProperties>
</file>