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9B98A4" w14:textId="77777777" w:rsidR="007F4F0F" w:rsidRPr="007F4F0F" w:rsidRDefault="007F4F0F" w:rsidP="007F4F0F">
      <w:pPr>
        <w:pageBreakBefore/>
        <w:autoSpaceDE w:val="0"/>
        <w:autoSpaceDN w:val="0"/>
        <w:adjustRightInd w:val="0"/>
        <w:spacing w:line="240" w:lineRule="auto"/>
        <w:rPr>
          <w:rFonts w:asciiTheme="majorBidi" w:eastAsiaTheme="minorHAnsi" w:hAnsiTheme="majorBidi" w:cstheme="majorBidi"/>
          <w:sz w:val="24"/>
          <w:szCs w:val="24"/>
        </w:rPr>
      </w:pPr>
      <w:r w:rsidRPr="007F4F0F">
        <w:rPr>
          <w:rFonts w:asciiTheme="majorBidi" w:eastAsiaTheme="minorHAnsi" w:hAnsiTheme="majorBidi" w:cstheme="majorBidi"/>
          <w:b/>
          <w:bCs/>
          <w:sz w:val="24"/>
          <w:szCs w:val="24"/>
        </w:rPr>
        <w:t xml:space="preserve">LC-MS Metabolomics </w:t>
      </w:r>
    </w:p>
    <w:p w14:paraId="31EE85E6" w14:textId="77777777" w:rsidR="007F4F0F" w:rsidRDefault="007F4F0F" w:rsidP="007F4F0F">
      <w:pPr>
        <w:rPr>
          <w:rFonts w:asciiTheme="majorBidi" w:eastAsiaTheme="minorHAnsi" w:hAnsiTheme="majorBidi" w:cstheme="majorBidi"/>
          <w:sz w:val="24"/>
          <w:szCs w:val="24"/>
        </w:rPr>
      </w:pPr>
    </w:p>
    <w:p w14:paraId="10338026" w14:textId="73D79EA8" w:rsidR="004350FD" w:rsidRPr="007F4F0F" w:rsidRDefault="007F4F0F" w:rsidP="007F4F0F">
      <w:pPr>
        <w:rPr>
          <w:rFonts w:asciiTheme="majorBidi" w:eastAsiaTheme="minorHAnsi" w:hAnsiTheme="majorBidi" w:cstheme="majorBidi"/>
          <w:sz w:val="24"/>
          <w:szCs w:val="24"/>
        </w:rPr>
      </w:pPr>
      <w:r w:rsidRPr="007F4F0F">
        <w:rPr>
          <w:rFonts w:asciiTheme="majorBidi" w:eastAsiaTheme="minorHAnsi" w:hAnsiTheme="majorBidi" w:cstheme="majorBidi"/>
          <w:sz w:val="24"/>
          <w:szCs w:val="24"/>
        </w:rPr>
        <w:t xml:space="preserve">Metabolomics analysis was explored using the Waters Acquity UPLC system coupled with a Xevo G2-S QTOF mass spectrometer equipped with an electrospray ionization source (ESI) </w:t>
      </w:r>
      <w:r w:rsidRPr="007F4F0F">
        <w:rPr>
          <w:rFonts w:asciiTheme="majorBidi" w:eastAsiaTheme="minorHAnsi" w:hAnsiTheme="majorBidi" w:cstheme="majorBidi"/>
          <w:sz w:val="24"/>
          <w:szCs w:val="24"/>
        </w:rPr>
        <w:fldChar w:fldCharType="begin"/>
      </w:r>
      <w:r w:rsidRPr="007F4F0F">
        <w:rPr>
          <w:rFonts w:asciiTheme="majorBidi" w:eastAsiaTheme="minorHAnsi" w:hAnsiTheme="majorBidi" w:cstheme="majorBidi"/>
          <w:sz w:val="24"/>
          <w:szCs w:val="24"/>
        </w:rPr>
        <w:instrText xml:space="preserve"> ADDIN ZOTERO_ITEM CSL_CITATION {"citationID":"5uAFl4NN","properties":{"formattedCitation":"(43,44)","plainCitation":"(43,44)","noteIndex":0},"citationItems":[{"id":2893,"uris":["http://zotero.org/users/4419776/items/TMLSMLZ2"],"itemData":{"id":2893,"type":"article-journal","abstract":"Galactosemia (GAL) is an autosomal recessive genetic disorder characterized by galactose metabolism disturbances. GAL develops non-preventable life-threatening complications even with a reduced content of galactose and lactose patient’s diet. Thus, the underlying pathophysiology of long-term complications in GAL remains poorly understood. In the current study, a metabolomics approach using ultra-performance liquid chromatography coupled with high-resolution mass spectrometry (UPLC/HRMS) was used to investigate the metabolomic changes in the dried blood spots of 15 patients with GAL and 39 healthy individuals. Compared to the control group, 2,819 metabolites underwent significant changes in patients with GAL. In all, 480 human endogenous metabolites were identified, of which 209 and 271 were upregulated and downregulated, respectively. PA (8:0/LTE4) and ganglioside GT1c (d18:0/20:0) metabolites showed the most significant differential between GAL and the healthy group, with an area under the curve of 1 and 0.995, respectively. Additionally, our findings showed novel potential biomarkers for GAL, such as 17-alpha-estradiol-3-glucuronide and 16-alpha-hydroxy DHEA 3-sulfatediphosphate. In conclusion, this metabolomics study deepened the understanding of the pathophysiology of GAL and presented metabolites that might serve as potential prognostic biomarkers to monitor the progression or support the clinical diagnosis of GAL.","container-title":"Frontiers in Molecular Biosciences","DOI":"10.3389/fmolb.2023.1154149","ISSN":"2296-889X","journalAbbreviation":"Front. Mol. Biosci.","language":"English","note":"publisher: Frontiers","source":"www.frontiersin.org","title":"Biomarker Discovery in Galactosemia: Metabolomics with UPLC/HRMS in Dried Blood Spots","title-short":"Biomarker Discovery in Galactosemia","URL":"https://www.frontiersin.org/articles/10.3389/fmolb.2023.1154149/abstract","volume":"10","author":[{"family":"Alodaib","given":"Ahmad"},{"family":"Nimer","given":"Refat"},{"family":"AlMalki","given":"Reem"},{"family":"Alhumaidy","given":"Rawan"},{"family":"Alhenaky","given":"Alaa"},{"family":"Abdel Jabar","given":"Mai"},{"family":"Abdel Raman","given":"Anas M."}],"accessed":{"date-parts":[["2023",4,4]]},"issued":{"date-parts":[["2023",3,3]]}}},{"id":2582,"uris":["http://zotero.org/users/4419776/items/QIPCJP7A"],"itemData":{"id":2582,"type":"article-journal","abstract":"BackgroundHyperthyroidism is characterized by increased thyroid hormone production, which impacts various processes, including metabolism and energy expenditure. Yet, the underlying mechanism and subsequent influence of these changes are unknown. Metabolomics is a broad analytical method that enables qualitative and quantitative examination of metabolite level changes in biological systems in response to various stimuli, pathologies, or treatments.ObjectivesThis study uses untargeted metabolomics to explore the potential pathways and metabolic patterns associated with hyperthyroidism treatment.MethodsThe study consisted of 20 patients newly diagnosed with hyperthyroidism who were assessed at baseline and followed up after starting antithyroid treatment. Two blood samples were taken from each patient, pre (hyperthyroid state) and post-treatment (euthyroid state). Hyperthyroid and euthyroid states were identified based on thyroxine and thyroid-stimulating hormone levels. The metabolic alteration associated with antithyroid therapy was investigated using liquid chromatography- high-resolution mass spectrometry. The untargeted metabolomics data was analyzed using both univariate and multivariate analyses using MetaboAnalyst v5.0. The significant metabolic pattern was identified using the lab standard pipeline, which included molecular annotation in the Human Metabolome Database, LipidMap, LipidBlast, and METLIN. The identified metabolites were examined using pathway and network analyses and linked to cellular metabolism.ResultsThe results revealed a strong group separation between the pre- and post-hyperthyroidism treatment (Q2 = 0.573, R2 = 0.995), indicating significant differences in the plasma metabolome after treatment. Eighty-three mass ions were significantly dysregulated, of which 53 and 30 characteristics were up and down-regulated in the post-treatment compared to the pre-treatment group, respectively. The medium-chain acylcarnitines, octanoylcarnitine, and decanoylcarnitine, previously found to rise in hyperthyroid patients, were among the down-regulated metabolites, suggesting that their reduction could be a possible biomarker for monitoring euthyroid restoration. Kynurenine is a downregulated tryptophan metabolite, indicating that the enzyme kynurenine 3-hydroxylase, inhibited in hyperthyroidism, is back functioning. L-cystine, a cysteine dimer produced from cysteine oxidation, was among the down-regulated metabolites, and its accumulation is considered a sign of oxidative stress, which was reported to accompany hyperthyroidism; L-cystine levels dropped, this suggests that the plasma level of L-cystine can be used to monitor the progress of euthyroid state restoration.ConclusionThe plasma metabolome of patients with hyperthyroidism before and after treatments revealed differences in the abundance of several small metabolites. Our findings add to our understanding of hyperthyroidism’s altered metabolome and associated metabolic processes and shed light on acylcarnitines as a new biomarker for treatment monitoring in conjunction with thyroxine and thyroid-stimulating hormone.","container-title":"Frontiers in Endocrinology","ISSN":"1664-2392","source":"Frontiers","title":"The metabolomics approach revealed a distinctive metabolomics pattern associated with hyperthyroidism treatment","URL":"https://www.frontiersin.org/articles/10.3389/fendo.2022.1050201","volume":"13","author":[{"family":"Jaber","given":"Malak A."},{"family":"Benabdelkamel","given":"Hicham"},{"family":"Dahabiyeh","given":"Lina A."},{"family":"Masood","given":"Afshan"},{"family":"AlMalki","given":"Reem H."},{"family":"Musambil","given":"Mohthash"},{"family":"Alfadda","given":"Assim A."},{"family":"Abdel Rahman","given":"Anas M."}],"accessed":{"date-parts":[["2023",2,13]]},"issued":{"date-parts":[["2022"]]}}}],"schema":"https://github.com/citation-style-language/schema/raw/master/csl-citation.json"} </w:instrText>
      </w:r>
      <w:r w:rsidRPr="007F4F0F">
        <w:rPr>
          <w:rFonts w:asciiTheme="majorBidi" w:eastAsiaTheme="minorHAnsi" w:hAnsiTheme="majorBidi" w:cstheme="majorBidi"/>
          <w:sz w:val="24"/>
          <w:szCs w:val="24"/>
        </w:rPr>
        <w:fldChar w:fldCharType="separate"/>
      </w:r>
      <w:r w:rsidRPr="007F4F0F">
        <w:rPr>
          <w:rFonts w:asciiTheme="majorBidi" w:eastAsiaTheme="minorHAnsi" w:hAnsiTheme="majorBidi" w:cstheme="majorBidi"/>
          <w:sz w:val="24"/>
          <w:szCs w:val="24"/>
        </w:rPr>
        <w:t>(43,44)</w:t>
      </w:r>
      <w:r w:rsidRPr="007F4F0F">
        <w:rPr>
          <w:rFonts w:asciiTheme="majorBidi" w:eastAsiaTheme="minorHAnsi" w:hAnsiTheme="majorBidi" w:cstheme="majorBidi"/>
          <w:sz w:val="24"/>
          <w:szCs w:val="24"/>
        </w:rPr>
        <w:fldChar w:fldCharType="end"/>
      </w:r>
      <w:r w:rsidRPr="007F4F0F">
        <w:rPr>
          <w:rFonts w:asciiTheme="majorBidi" w:eastAsiaTheme="minorHAnsi" w:hAnsiTheme="majorBidi" w:cstheme="majorBidi"/>
          <w:sz w:val="24"/>
          <w:szCs w:val="24"/>
        </w:rPr>
        <w:t>. In detail, the extracted metabolites were chromatographed using an ACQUITY UPLC using XSelect (100×2.1mm 2.5 μm) column (Waters Ltd., Elstree, UK), the mobile phase composed of 0.1% formic acid in dH2O as solvent A and solvent B consists of 0.1% formic acid in 50% ACN: MeOH. A gradient elution schedule was run as follows: 0-16 min 95- 5% A, 16-19 min 5% A, 19-20 min 5-95% A, 20-22 min 95- 95% A, at 300 μL/min flow rate. MS spectra were acquired under positive and negative electrospray ionization modes (ESI+, ESI-). MS conditions were as follows: source temperature was 150◦C, the desolvation temperature was 500◦C (ESI+) or 140 (ESI−), the capillary voltage was 3.20 kV (ESI+) or 3 kV (ESI−), cone voltage was 40 V, desolvation gas flow was 800.0 L/h, cone gas flow was 50 L/h. The collision energies of low and high functions were set at 0 and 10-50 V, respectively, in MSE mode. The mass spectrometer was calibrated with sodium formate in 100–1200 Da. Data were collected in continuum mode with Masslynx™ V4.1 (Waters Technologies, Milford, MA., USA) workstation.</w:t>
      </w:r>
    </w:p>
    <w:p w14:paraId="5A3B7C2C" w14:textId="77777777" w:rsidR="007F4F0F" w:rsidRPr="007F4F0F" w:rsidRDefault="007F4F0F" w:rsidP="007F4F0F">
      <w:pPr>
        <w:rPr>
          <w:rFonts w:asciiTheme="majorBidi" w:hAnsiTheme="majorBidi" w:cstheme="majorBidi"/>
          <w:sz w:val="24"/>
          <w:szCs w:val="24"/>
        </w:rPr>
      </w:pPr>
    </w:p>
    <w:sectPr w:rsidR="007F4F0F" w:rsidRPr="007F4F0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4F0F"/>
    <w:rsid w:val="003A599D"/>
    <w:rsid w:val="004350FD"/>
    <w:rsid w:val="007F4F0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5CE2AA"/>
  <w15:chartTrackingRefBased/>
  <w15:docId w15:val="{2FC5CF2D-9987-4BDC-AE33-8875F6CEA5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4F0F"/>
    <w:pPr>
      <w:spacing w:after="0" w:line="260" w:lineRule="atLeast"/>
      <w:jc w:val="both"/>
    </w:pPr>
    <w:rPr>
      <w:rFonts w:ascii="Palatino Linotype" w:eastAsia="SimSun" w:hAnsi="Palatino Linotype" w:cs="Times New Roman"/>
      <w:noProof/>
      <w:color w:val="000000"/>
      <w:kern w:val="0"/>
      <w:sz w:val="20"/>
      <w:szCs w:val="20"/>
      <w:lang w:eastAsia="zh-C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1181</Words>
  <Characters>6738</Characters>
  <Application>Microsoft Office Word</Application>
  <DocSecurity>0</DocSecurity>
  <Lines>56</Lines>
  <Paragraphs>15</Paragraphs>
  <ScaleCrop>false</ScaleCrop>
  <Company/>
  <LinksUpToDate>false</LinksUpToDate>
  <CharactersWithSpaces>7904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ريم المالكي ID 439203044</dc:creator>
  <cp:keywords/>
  <dc:description/>
  <cp:lastModifiedBy>ريم المالكي ID 439203044</cp:lastModifiedBy>
  <cp:revision>1</cp:revision>
  <dcterms:created xsi:type="dcterms:W3CDTF">2023-04-11T14:14:00Z</dcterms:created>
  <dcterms:modified xsi:type="dcterms:W3CDTF">2023-04-11T14:15:00Z</dcterms:modified>
</cp:coreProperties>
</file>