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1717F" w14:textId="77777777" w:rsidR="00074548" w:rsidRPr="00074548" w:rsidRDefault="00074548" w:rsidP="00074548">
      <w:pPr>
        <w:spacing w:line="360" w:lineRule="auto"/>
        <w:jc w:val="both"/>
        <w:rPr>
          <w:rFonts w:asciiTheme="majorBidi" w:hAnsiTheme="majorBidi" w:cstheme="majorBidi"/>
          <w:b/>
          <w:bCs/>
          <w:sz w:val="24"/>
          <w:szCs w:val="24"/>
        </w:rPr>
      </w:pPr>
      <w:r w:rsidRPr="00074548">
        <w:rPr>
          <w:rFonts w:asciiTheme="majorBidi" w:hAnsiTheme="majorBidi" w:cstheme="majorBidi"/>
          <w:b/>
          <w:bCs/>
          <w:sz w:val="24"/>
          <w:szCs w:val="24"/>
        </w:rPr>
        <w:t>LC-HRMS Metabolomics analysis:</w:t>
      </w:r>
    </w:p>
    <w:p w14:paraId="7E2BDBCA" w14:textId="67655E2F" w:rsidR="00074548" w:rsidRDefault="00074548" w:rsidP="00074548">
      <w:pPr>
        <w:spacing w:line="360" w:lineRule="auto"/>
        <w:jc w:val="both"/>
        <w:rPr>
          <w:rFonts w:asciiTheme="majorBidi" w:hAnsiTheme="majorBidi" w:cstheme="majorBidi"/>
          <w:sz w:val="24"/>
          <w:szCs w:val="24"/>
        </w:rPr>
      </w:pPr>
      <w:r w:rsidRPr="00074548">
        <w:rPr>
          <w:rFonts w:asciiTheme="majorBidi" w:hAnsiTheme="majorBidi" w:cstheme="majorBidi"/>
          <w:sz w:val="24"/>
          <w:szCs w:val="24"/>
        </w:rPr>
        <w:t>All dried extracted samples were reconstituted with 50% of mobile phase A (0.1% formic acid: dH</w:t>
      </w:r>
      <w:r w:rsidRPr="00074548">
        <w:rPr>
          <w:rFonts w:asciiTheme="majorBidi" w:hAnsiTheme="majorBidi" w:cstheme="majorBidi"/>
          <w:sz w:val="24"/>
          <w:szCs w:val="24"/>
          <w:vertAlign w:val="subscript"/>
        </w:rPr>
        <w:t>2</w:t>
      </w:r>
      <w:r w:rsidRPr="00074548">
        <w:rPr>
          <w:rFonts w:asciiTheme="majorBidi" w:hAnsiTheme="majorBidi" w:cstheme="majorBidi"/>
          <w:sz w:val="24"/>
          <w:szCs w:val="24"/>
        </w:rPr>
        <w:t xml:space="preserve">O) and mobile phase B (0.1% formic acid: 50% MeOH and ACN) for an LC-MS metabolomics analysis. Initially, 5μL form the sample was introduced through the LC column and the polar metabolites were isolated in a reversed phase liquid chromatography with Waters ACQUITY UPLC </w:t>
      </w:r>
      <w:proofErr w:type="spellStart"/>
      <w:r w:rsidRPr="00074548">
        <w:rPr>
          <w:rFonts w:asciiTheme="majorBidi" w:hAnsiTheme="majorBidi" w:cstheme="majorBidi"/>
          <w:sz w:val="24"/>
          <w:szCs w:val="24"/>
        </w:rPr>
        <w:t>XSelect</w:t>
      </w:r>
      <w:proofErr w:type="spellEnd"/>
      <w:r w:rsidRPr="00074548">
        <w:rPr>
          <w:rFonts w:asciiTheme="majorBidi" w:hAnsiTheme="majorBidi" w:cstheme="majorBidi"/>
          <w:sz w:val="24"/>
          <w:szCs w:val="24"/>
        </w:rPr>
        <w:t xml:space="preserve"> (100 ×2.1 mm ×2.5 </w:t>
      </w:r>
      <w:proofErr w:type="spellStart"/>
      <w:r w:rsidRPr="00074548">
        <w:rPr>
          <w:rFonts w:asciiTheme="majorBidi" w:hAnsiTheme="majorBidi" w:cstheme="majorBidi"/>
          <w:sz w:val="24"/>
          <w:szCs w:val="24"/>
        </w:rPr>
        <w:t>μm</w:t>
      </w:r>
      <w:proofErr w:type="spellEnd"/>
      <w:r w:rsidRPr="00074548">
        <w:rPr>
          <w:rFonts w:asciiTheme="majorBidi" w:hAnsiTheme="majorBidi" w:cstheme="majorBidi"/>
          <w:sz w:val="24"/>
          <w:szCs w:val="24"/>
        </w:rPr>
        <w:t xml:space="preserve">) column (Waters Ltd., Elstree, UK). The flow rate of the mobile phase was set as (300 </w:t>
      </w:r>
      <w:proofErr w:type="spellStart"/>
      <w:r w:rsidRPr="00074548">
        <w:rPr>
          <w:rFonts w:asciiTheme="majorBidi" w:hAnsiTheme="majorBidi" w:cstheme="majorBidi"/>
          <w:sz w:val="24"/>
          <w:szCs w:val="24"/>
        </w:rPr>
        <w:t>μL</w:t>
      </w:r>
      <w:proofErr w:type="spellEnd"/>
      <w:r w:rsidRPr="00074548">
        <w:rPr>
          <w:rFonts w:asciiTheme="majorBidi" w:hAnsiTheme="majorBidi" w:cstheme="majorBidi"/>
          <w:sz w:val="24"/>
          <w:szCs w:val="24"/>
        </w:rPr>
        <w:t xml:space="preserve">/min), with the column temperature at 55 </w:t>
      </w:r>
      <w:r w:rsidRPr="00074548">
        <w:rPr>
          <w:rFonts w:asciiTheme="majorBidi" w:hAnsiTheme="majorBidi" w:cstheme="majorBidi"/>
          <w:sz w:val="24"/>
          <w:szCs w:val="24"/>
          <w:vertAlign w:val="superscript"/>
        </w:rPr>
        <w:t>◦</w:t>
      </w:r>
      <w:r w:rsidRPr="00074548">
        <w:rPr>
          <w:rFonts w:asciiTheme="majorBidi" w:hAnsiTheme="majorBidi" w:cstheme="majorBidi"/>
          <w:sz w:val="24"/>
          <w:szCs w:val="24"/>
        </w:rPr>
        <w:t xml:space="preserve">C and the sample manager was kept at 4 ◦C. Mobile phases A and B were pumped along the column in a gradient mode: 95–5% A (0–16 min), 5% A (16–19 min), 5–95% A (19–20 min), and 95–95% A (20–22 min). The negatively or positively ionized molecules were eluted from the LC by applying an electrospray ionization source (ESI) and the separation in the gas phase depend on m/z ratio via a </w:t>
      </w:r>
      <w:proofErr w:type="spellStart"/>
      <w:r w:rsidRPr="00074548">
        <w:rPr>
          <w:rFonts w:asciiTheme="majorBidi" w:hAnsiTheme="majorBidi" w:cstheme="majorBidi"/>
          <w:sz w:val="24"/>
          <w:szCs w:val="24"/>
        </w:rPr>
        <w:t>Xevo</w:t>
      </w:r>
      <w:proofErr w:type="spellEnd"/>
      <w:r w:rsidRPr="00074548">
        <w:rPr>
          <w:rFonts w:asciiTheme="majorBidi" w:hAnsiTheme="majorBidi" w:cstheme="majorBidi"/>
          <w:sz w:val="24"/>
          <w:szCs w:val="24"/>
        </w:rPr>
        <w:t xml:space="preserve"> G2-S QTOF mass spectrometer (Waters Ltd., Elstree, UK). The metabolites were ionized in ionization source, where its temperature was fixed at 150 ◦C, the </w:t>
      </w:r>
      <w:proofErr w:type="spellStart"/>
      <w:r w:rsidRPr="00074548">
        <w:rPr>
          <w:rFonts w:asciiTheme="majorBidi" w:hAnsiTheme="majorBidi" w:cstheme="majorBidi"/>
          <w:sz w:val="24"/>
          <w:szCs w:val="24"/>
        </w:rPr>
        <w:t>desolvation</w:t>
      </w:r>
      <w:proofErr w:type="spellEnd"/>
      <w:r w:rsidRPr="00074548">
        <w:rPr>
          <w:rFonts w:asciiTheme="majorBidi" w:hAnsiTheme="majorBidi" w:cstheme="majorBidi"/>
          <w:sz w:val="24"/>
          <w:szCs w:val="24"/>
        </w:rPr>
        <w:t xml:space="preserve"> temperature was set at 500 </w:t>
      </w:r>
      <w:r w:rsidRPr="00074548">
        <w:rPr>
          <w:rFonts w:asciiTheme="majorBidi" w:hAnsiTheme="majorBidi" w:cstheme="majorBidi"/>
          <w:sz w:val="24"/>
          <w:szCs w:val="24"/>
          <w:vertAlign w:val="superscript"/>
        </w:rPr>
        <w:t>◦</w:t>
      </w:r>
      <w:r w:rsidRPr="00074548">
        <w:rPr>
          <w:rFonts w:asciiTheme="majorBidi" w:hAnsiTheme="majorBidi" w:cstheme="majorBidi"/>
          <w:sz w:val="24"/>
          <w:szCs w:val="24"/>
        </w:rPr>
        <w:t xml:space="preserve">C or 140 </w:t>
      </w:r>
      <w:r w:rsidRPr="00074548">
        <w:rPr>
          <w:rFonts w:asciiTheme="majorBidi" w:hAnsiTheme="majorBidi" w:cstheme="majorBidi"/>
          <w:sz w:val="24"/>
          <w:szCs w:val="24"/>
          <w:vertAlign w:val="superscript"/>
        </w:rPr>
        <w:t>◦</w:t>
      </w:r>
      <w:r w:rsidRPr="00074548">
        <w:rPr>
          <w:rFonts w:asciiTheme="majorBidi" w:hAnsiTheme="majorBidi" w:cstheme="majorBidi"/>
          <w:sz w:val="24"/>
          <w:szCs w:val="24"/>
        </w:rPr>
        <w:t xml:space="preserve">C and the capillary voltages were kept 3.20 kV or 3 kV for ESI+ and ESI− modes, respectively. The cone gas flow was 50 L/h, the </w:t>
      </w:r>
      <w:proofErr w:type="spellStart"/>
      <w:r w:rsidRPr="00074548">
        <w:rPr>
          <w:rFonts w:asciiTheme="majorBidi" w:hAnsiTheme="majorBidi" w:cstheme="majorBidi"/>
          <w:sz w:val="24"/>
          <w:szCs w:val="24"/>
        </w:rPr>
        <w:t>desolvation</w:t>
      </w:r>
      <w:proofErr w:type="spellEnd"/>
      <w:r w:rsidRPr="00074548">
        <w:rPr>
          <w:rFonts w:asciiTheme="majorBidi" w:hAnsiTheme="majorBidi" w:cstheme="majorBidi"/>
          <w:sz w:val="24"/>
          <w:szCs w:val="24"/>
        </w:rPr>
        <w:t xml:space="preserve"> gas flow was 800 L/h, while the cone voltage was 40 V. The collision energies for the low and high functions, were set to off and 10–50 V, respectively, in the MSE data-independent acquisition (DIA) mode. As recommended by the vendor, the mass spectrometer was calibrated with </w:t>
      </w:r>
      <w:proofErr w:type="spellStart"/>
      <w:r w:rsidRPr="00074548">
        <w:rPr>
          <w:rFonts w:asciiTheme="majorBidi" w:hAnsiTheme="majorBidi" w:cstheme="majorBidi"/>
          <w:sz w:val="24"/>
          <w:szCs w:val="24"/>
        </w:rPr>
        <w:t>HCOONa</w:t>
      </w:r>
      <w:proofErr w:type="spellEnd"/>
      <w:r w:rsidRPr="00074548">
        <w:rPr>
          <w:rFonts w:asciiTheme="majorBidi" w:hAnsiTheme="majorBidi" w:cstheme="majorBidi"/>
          <w:sz w:val="24"/>
          <w:szCs w:val="24"/>
        </w:rPr>
        <w:t xml:space="preserve"> (100–1200 Da) in both ionization modes. The lock spray mass compound, leucine-</w:t>
      </w:r>
      <w:proofErr w:type="spellStart"/>
      <w:r w:rsidRPr="00074548">
        <w:rPr>
          <w:rFonts w:asciiTheme="majorBidi" w:hAnsiTheme="majorBidi" w:cstheme="majorBidi"/>
          <w:sz w:val="24"/>
          <w:szCs w:val="24"/>
        </w:rPr>
        <w:t>enkephaline</w:t>
      </w:r>
      <w:proofErr w:type="spellEnd"/>
      <w:r w:rsidRPr="00074548">
        <w:rPr>
          <w:rFonts w:asciiTheme="majorBidi" w:hAnsiTheme="majorBidi" w:cstheme="majorBidi"/>
          <w:sz w:val="24"/>
          <w:szCs w:val="24"/>
        </w:rPr>
        <w:t xml:space="preserve"> (an external reference to the ion m/z 556.2771 in positive mode and 554.2615 in negative mode), were constantly injected, which its responsible for switching between the sample and the reference for every 45 and 60 s in both modes, scan time </w:t>
      </w:r>
      <w:r w:rsidR="00930C9D" w:rsidRPr="00074548">
        <w:rPr>
          <w:rFonts w:asciiTheme="majorBidi" w:hAnsiTheme="majorBidi" w:cstheme="majorBidi"/>
          <w:sz w:val="24"/>
          <w:szCs w:val="24"/>
        </w:rPr>
        <w:t>was 0.5</w:t>
      </w:r>
      <w:r w:rsidRPr="00074548">
        <w:rPr>
          <w:rFonts w:asciiTheme="majorBidi" w:hAnsiTheme="majorBidi" w:cstheme="majorBidi"/>
          <w:sz w:val="24"/>
          <w:szCs w:val="24"/>
        </w:rPr>
        <w:t xml:space="preserve"> s, the flow rate was 10 </w:t>
      </w:r>
      <w:proofErr w:type="spellStart"/>
      <w:r w:rsidRPr="00074548">
        <w:rPr>
          <w:rFonts w:asciiTheme="majorBidi" w:hAnsiTheme="majorBidi" w:cstheme="majorBidi"/>
          <w:sz w:val="24"/>
          <w:szCs w:val="24"/>
        </w:rPr>
        <w:t>μL</w:t>
      </w:r>
      <w:proofErr w:type="spellEnd"/>
      <w:r w:rsidRPr="00074548">
        <w:rPr>
          <w:rFonts w:asciiTheme="majorBidi" w:hAnsiTheme="majorBidi" w:cstheme="majorBidi"/>
          <w:sz w:val="24"/>
          <w:szCs w:val="24"/>
        </w:rPr>
        <w:t xml:space="preserve">/min, and collision energy was  4 and 30 V for the cone, respectively. The DIA data were gathered with a </w:t>
      </w:r>
      <w:proofErr w:type="spellStart"/>
      <w:r w:rsidRPr="00074548">
        <w:rPr>
          <w:rFonts w:asciiTheme="majorBidi" w:hAnsiTheme="majorBidi" w:cstheme="majorBidi"/>
          <w:sz w:val="24"/>
          <w:szCs w:val="24"/>
        </w:rPr>
        <w:t>Masslynx</w:t>
      </w:r>
      <w:proofErr w:type="spellEnd"/>
      <w:r w:rsidRPr="00074548">
        <w:rPr>
          <w:rFonts w:asciiTheme="majorBidi" w:hAnsiTheme="majorBidi" w:cstheme="majorBidi"/>
          <w:sz w:val="24"/>
          <w:szCs w:val="24"/>
        </w:rPr>
        <w:t xml:space="preserve">™ V4.1 Software (Waters Inc., Milford, MA, USA) in continuum mode. Quality control samples (QCs) were made with aliquots from all samples and introduced to the instrument after the randomization of each group, after 10 samples to validate the stability of the system </w:t>
      </w:r>
      <w:r w:rsidRPr="00074548">
        <w:rPr>
          <w:rFonts w:asciiTheme="majorBidi" w:hAnsiTheme="majorBidi" w:cstheme="majorBidi"/>
          <w:sz w:val="24"/>
          <w:szCs w:val="24"/>
        </w:rPr>
        <w:fldChar w:fldCharType="begin"/>
      </w:r>
      <w:r w:rsidRPr="00074548">
        <w:rPr>
          <w:rFonts w:asciiTheme="majorBidi" w:hAnsiTheme="majorBidi" w:cstheme="majorBidi"/>
          <w:sz w:val="24"/>
          <w:szCs w:val="24"/>
        </w:rPr>
        <w:instrText xml:space="preserve"> ADDIN EN.CITE &lt;EndNote&gt;&lt;Cite&gt;&lt;Author&gt;Aldubayan&lt;/Author&gt;&lt;Year&gt;2017&lt;/Year&gt;&lt;RecNum&gt;4&lt;/RecNum&gt;&lt;DisplayText&gt;(Aldubayan, Rodan, Berry, &amp;amp; Levy, 2017)&lt;/DisplayText&gt;&lt;record&gt;&lt;rec-number&gt;4&lt;/rec-number&gt;&lt;foreign-keys&gt;&lt;key app="EN" db-id="vx5tt2xale2asce0rr555r2gfr9ax295pxtw" timestamp="1639862277"&gt;4&lt;/key&gt;&lt;/foreign-keys&gt;&lt;ref-type name="Journal Article"&gt;17&lt;/ref-type&gt;&lt;contributors&gt;&lt;authors&gt;&lt;author&gt;Aldubayan, Saud H.&lt;/author&gt;&lt;author&gt;Rodan, Lance H.&lt;/author&gt;&lt;author&gt;Berry, Gerard T.&lt;/author&gt;&lt;author&gt;Levy, Harvey L.&lt;/author&gt;&lt;/authors&gt;&lt;/contributors&gt;&lt;titles&gt;&lt;title&gt;Acute Illness Protocol for Fatty Acid Oxidation and Carnitine Disorders&lt;/title&gt;&lt;/titles&gt;&lt;pages&gt;296-301&lt;/pages&gt;&lt;volume&gt;33&lt;/volume&gt;&lt;number&gt;4&lt;/number&gt;&lt;keywords&gt;&lt;keyword&gt;inborn errors of metabolism&lt;/keyword&gt;&lt;keyword&gt;fatty acid oxidation&lt;/keyword&gt;&lt;keyword&gt;carnitine disorders&lt;/keyword&gt;&lt;/keywords&gt;&lt;dates&gt;&lt;year&gt;2017&lt;/year&gt;&lt;/dates&gt;&lt;isbn&gt;0749-5161&lt;/isbn&gt;&lt;accession-num&gt;00006565-201704000-00018&lt;/accession-num&gt;&lt;urls&gt;&lt;related-urls&gt;&lt;url&gt;https://journals.lww.com/pec-online/Fulltext/2017/04000/Acute_Illness_Protocol_for_Fatty_Acid_Oxidation.18.aspx&lt;/url&gt;&lt;/related-urls&gt;&lt;/urls&gt;&lt;electronic-resource-num&gt;10.1097/pec.0000000000001093&lt;/electronic-resource-num&gt;&lt;/record&gt;&lt;/Cite&gt;&lt;/EndNote&gt;</w:instrText>
      </w:r>
      <w:r w:rsidRPr="00074548">
        <w:rPr>
          <w:rFonts w:asciiTheme="majorBidi" w:hAnsiTheme="majorBidi" w:cstheme="majorBidi"/>
          <w:sz w:val="24"/>
          <w:szCs w:val="24"/>
        </w:rPr>
        <w:fldChar w:fldCharType="separate"/>
      </w:r>
      <w:r w:rsidRPr="00074548">
        <w:rPr>
          <w:rFonts w:asciiTheme="majorBidi" w:hAnsiTheme="majorBidi" w:cstheme="majorBidi"/>
          <w:noProof/>
          <w:sz w:val="24"/>
          <w:szCs w:val="24"/>
        </w:rPr>
        <w:t>(Aldubayan, Rodan, Berry, &amp; Levy, 2017)</w:t>
      </w:r>
      <w:r w:rsidRPr="00074548">
        <w:rPr>
          <w:rFonts w:asciiTheme="majorBidi" w:hAnsiTheme="majorBidi" w:cstheme="majorBidi"/>
          <w:sz w:val="24"/>
          <w:szCs w:val="24"/>
        </w:rPr>
        <w:fldChar w:fldCharType="end"/>
      </w:r>
      <w:r w:rsidRPr="00074548">
        <w:rPr>
          <w:rFonts w:asciiTheme="majorBidi" w:hAnsiTheme="majorBidi" w:cstheme="majorBidi"/>
          <w:sz w:val="24"/>
          <w:szCs w:val="24"/>
        </w:rPr>
        <w:t>.</w:t>
      </w:r>
    </w:p>
    <w:p w14:paraId="10240C11" w14:textId="77777777" w:rsidR="00074548" w:rsidRDefault="00074548">
      <w:pPr>
        <w:rPr>
          <w:rFonts w:hint="cs"/>
        </w:rPr>
      </w:pPr>
    </w:p>
    <w:sectPr w:rsidR="00074548" w:rsidSect="007E48D6">
      <w:pgSz w:w="12240" w:h="15840"/>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548"/>
    <w:rsid w:val="00074548"/>
    <w:rsid w:val="007E48D6"/>
    <w:rsid w:val="00930C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2B55C"/>
  <w15:chartTrackingRefBased/>
  <w15:docId w15:val="{CE729ADA-2BAA-4A44-97C9-7A7481E8F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454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074548"/>
    <w:rPr>
      <w:sz w:val="16"/>
      <w:szCs w:val="16"/>
    </w:rPr>
  </w:style>
  <w:style w:type="paragraph" w:styleId="a4">
    <w:name w:val="annotation text"/>
    <w:basedOn w:val="a"/>
    <w:link w:val="Char"/>
    <w:uiPriority w:val="99"/>
    <w:unhideWhenUsed/>
    <w:rsid w:val="00074548"/>
    <w:pPr>
      <w:spacing w:line="240" w:lineRule="auto"/>
    </w:pPr>
    <w:rPr>
      <w:sz w:val="20"/>
      <w:szCs w:val="20"/>
    </w:rPr>
  </w:style>
  <w:style w:type="character" w:customStyle="1" w:styleId="Char">
    <w:name w:val="نص تعليق Char"/>
    <w:basedOn w:val="a0"/>
    <w:link w:val="a4"/>
    <w:uiPriority w:val="99"/>
    <w:rsid w:val="0007454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535</Words>
  <Characters>3052</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عبير العتيبي ID 441203289</dc:creator>
  <cp:keywords/>
  <dc:description/>
  <cp:lastModifiedBy>عبير العتيبي ID 441203289</cp:lastModifiedBy>
  <cp:revision>1</cp:revision>
  <dcterms:created xsi:type="dcterms:W3CDTF">2023-06-05T12:14:00Z</dcterms:created>
  <dcterms:modified xsi:type="dcterms:W3CDTF">2023-06-05T12:26:00Z</dcterms:modified>
</cp:coreProperties>
</file>