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6C850" w14:textId="6DC0A9D2" w:rsidR="0023019B" w:rsidRDefault="0043129A">
      <w:r w:rsidRPr="0043129A">
        <w:t>‘</w:t>
      </w:r>
      <w:r w:rsidRPr="009431C4">
        <w:rPr>
          <w:i/>
          <w:iCs/>
        </w:rPr>
        <w:t>Ventricle-specific myocardial protein and metabolite characterisation in healthy humans, with differential regulation in end-stage cardiomyopathies</w:t>
      </w:r>
      <w:r w:rsidRPr="0043129A">
        <w:t xml:space="preserve">’, </w:t>
      </w:r>
      <w:r>
        <w:t xml:space="preserve">2018 </w:t>
      </w:r>
      <w:r w:rsidRPr="0043129A">
        <w:t>Metabolomic mass spectrometry methods</w:t>
      </w:r>
    </w:p>
    <w:p w14:paraId="288A949F" w14:textId="77777777" w:rsidR="0043129A" w:rsidRDefault="0043129A" w:rsidP="0043129A"/>
    <w:p w14:paraId="10106B57" w14:textId="45CEC5E4" w:rsidR="0043129A" w:rsidRDefault="0043129A" w:rsidP="0043129A">
      <w:r>
        <w:t>Methods from, ‘</w:t>
      </w:r>
      <w:r w:rsidRPr="0043129A">
        <w:rPr>
          <w:i/>
          <w:iCs/>
        </w:rPr>
        <w:t>Core functional nodes and sex-specific pathways in</w:t>
      </w:r>
      <w:r w:rsidRPr="0043129A">
        <w:rPr>
          <w:i/>
          <w:iCs/>
        </w:rPr>
        <w:t xml:space="preserve"> </w:t>
      </w:r>
      <w:r w:rsidRPr="0043129A">
        <w:rPr>
          <w:i/>
          <w:iCs/>
        </w:rPr>
        <w:t>human ischaemic and dilated cardiomyopathy</w:t>
      </w:r>
      <w:r w:rsidRPr="0043129A">
        <w:rPr>
          <w:i/>
          <w:iCs/>
        </w:rPr>
        <w:t>’</w:t>
      </w:r>
      <w:r>
        <w:t>:</w:t>
      </w:r>
    </w:p>
    <w:p w14:paraId="435BEA82" w14:textId="673C5681" w:rsidR="0043129A" w:rsidRDefault="0043129A" w:rsidP="0043129A">
      <w:r>
        <w:t>The mass spectrometry metabolomics data have been deposited to</w:t>
      </w:r>
    </w:p>
    <w:p w14:paraId="384048FB" w14:textId="77777777" w:rsidR="0043129A" w:rsidRDefault="0043129A" w:rsidP="0043129A">
      <w:r>
        <w:t>Metabolomics workbench. Frozen heart tissues were crushed to powder in liquid</w:t>
      </w:r>
    </w:p>
    <w:p w14:paraId="153C912A" w14:textId="77777777" w:rsidR="0043129A" w:rsidRDefault="0043129A" w:rsidP="0043129A">
      <w:r>
        <w:t>nitrogen and weighed for metabolomic (~150 mg) and proteomic (~20 mg) analysis,</w:t>
      </w:r>
    </w:p>
    <w:p w14:paraId="4F99B2C7" w14:textId="77777777" w:rsidR="0043129A" w:rsidRDefault="0043129A" w:rsidP="0043129A">
      <w:r>
        <w:t>respectively. For targeted metabolomic analysis, a tandem liquid</w:t>
      </w:r>
    </w:p>
    <w:p w14:paraId="566C50D0" w14:textId="77777777" w:rsidR="0043129A" w:rsidRDefault="0043129A" w:rsidP="0043129A">
      <w:r>
        <w:t>chromatography–mass spectrometry (LC-MS/MS) composed of an Agilent (Santa</w:t>
      </w:r>
    </w:p>
    <w:p w14:paraId="14651135" w14:textId="77777777" w:rsidR="0043129A" w:rsidRDefault="0043129A" w:rsidP="0043129A">
      <w:r>
        <w:t>Clara, CA, USA) 1260 Infinity liquid chromatography system coupled to a</w:t>
      </w:r>
    </w:p>
    <w:p w14:paraId="0451E956" w14:textId="77777777" w:rsidR="0043129A" w:rsidRDefault="0043129A" w:rsidP="0043129A">
      <w:r>
        <w:t xml:space="preserve">QTRAP5500 mass spectrometer (AB </w:t>
      </w:r>
      <w:proofErr w:type="spellStart"/>
      <w:r>
        <w:t>Sciex</w:t>
      </w:r>
      <w:proofErr w:type="spellEnd"/>
      <w:r>
        <w:t>, Foster City, CA, USA) was used to</w:t>
      </w:r>
    </w:p>
    <w:p w14:paraId="55713BDE" w14:textId="77777777" w:rsidR="0043129A" w:rsidRDefault="0043129A" w:rsidP="0043129A">
      <w:r>
        <w:t>measure hydrophilic metabolites in positive and negative ionization modes. The</w:t>
      </w:r>
    </w:p>
    <w:p w14:paraId="74129341" w14:textId="77777777" w:rsidR="0043129A" w:rsidRDefault="0043129A" w:rsidP="0043129A">
      <w:r>
        <w:t>polar metabolites in positive ionization mode included nucleotides, neurotransmitters,</w:t>
      </w:r>
    </w:p>
    <w:p w14:paraId="07A81C21" w14:textId="77777777" w:rsidR="0043129A" w:rsidRDefault="0043129A" w:rsidP="0043129A">
      <w:r>
        <w:t>amino acids and vitamins, and were separated on a hydrophilic</w:t>
      </w:r>
    </w:p>
    <w:p w14:paraId="574BC6AC" w14:textId="77777777" w:rsidR="0043129A" w:rsidRDefault="0043129A" w:rsidP="0043129A">
      <w:r>
        <w:t>interaction chromatography using acidic chromatographic condition. For the</w:t>
      </w:r>
    </w:p>
    <w:p w14:paraId="1111A687" w14:textId="77777777" w:rsidR="0043129A" w:rsidRDefault="0043129A" w:rsidP="0043129A">
      <w:r>
        <w:t xml:space="preserve">separation of high-energy intermediates, </w:t>
      </w:r>
      <w:proofErr w:type="gramStart"/>
      <w:r>
        <w:t>nucleotide</w:t>
      </w:r>
      <w:proofErr w:type="gramEnd"/>
      <w:r>
        <w:t xml:space="preserve"> and nucleoside phosphates,</w:t>
      </w:r>
    </w:p>
    <w:p w14:paraId="6D2E4E0D" w14:textId="77777777" w:rsidR="0043129A" w:rsidRDefault="0043129A" w:rsidP="0043129A">
      <w:r>
        <w:t>organic acids, Krebs cycle intermediates and glycolytic intermediates, a BEH Amide</w:t>
      </w:r>
    </w:p>
    <w:p w14:paraId="24752DBA" w14:textId="77777777" w:rsidR="0043129A" w:rsidRDefault="0043129A" w:rsidP="0043129A">
      <w:r>
        <w:t>column was used, both as previously described</w:t>
      </w:r>
      <w:r w:rsidRPr="0043129A">
        <w:rPr>
          <w:vertAlign w:val="superscript"/>
        </w:rPr>
        <w:t>73</w:t>
      </w:r>
      <w:r>
        <w:t>. Both sets of metabolites were</w:t>
      </w:r>
    </w:p>
    <w:p w14:paraId="3E680CB7" w14:textId="77777777" w:rsidR="0043129A" w:rsidRDefault="0043129A" w:rsidP="0043129A">
      <w:r>
        <w:t>based on HPLC-grade authentic chemical standards, where the retention time (RT)</w:t>
      </w:r>
    </w:p>
    <w:p w14:paraId="38BCA1A5" w14:textId="77777777" w:rsidR="0043129A" w:rsidRDefault="0043129A" w:rsidP="0043129A">
      <w:r>
        <w:t>and MRM Q1 and Q3 masses were unique to each metabolite were derived and</w:t>
      </w:r>
    </w:p>
    <w:p w14:paraId="379216A0" w14:textId="77777777" w:rsidR="0043129A" w:rsidRDefault="0043129A" w:rsidP="0043129A">
      <w:r>
        <w:t>compiled into a library. A data file, “Instrument Settings Metabolite”, containing</w:t>
      </w:r>
    </w:p>
    <w:p w14:paraId="7A7AD03D" w14:textId="77777777" w:rsidR="0043129A" w:rsidRDefault="0043129A" w:rsidP="0043129A">
      <w:r>
        <w:t xml:space="preserve">the LC/MS instrument settings for each metabolite, has been uploaded </w:t>
      </w:r>
      <w:proofErr w:type="gramStart"/>
      <w:r>
        <w:t>to</w:t>
      </w:r>
      <w:proofErr w:type="gramEnd"/>
      <w:r>
        <w:t xml:space="preserve"> Supplementary</w:t>
      </w:r>
    </w:p>
    <w:p w14:paraId="5493A560" w14:textId="77777777" w:rsidR="0043129A" w:rsidRDefault="0043129A" w:rsidP="0043129A">
      <w:r>
        <w:t>Data 15.</w:t>
      </w:r>
    </w:p>
    <w:p w14:paraId="3F3C3F66" w14:textId="77777777" w:rsidR="0043129A" w:rsidRDefault="0043129A" w:rsidP="0043129A">
      <w:r>
        <w:t xml:space="preserve">The analysis software </w:t>
      </w:r>
      <w:proofErr w:type="spellStart"/>
      <w:r>
        <w:t>MultiQuant</w:t>
      </w:r>
      <w:proofErr w:type="spellEnd"/>
      <w:r>
        <w:t xml:space="preserve"> 3.0 (</w:t>
      </w:r>
      <w:proofErr w:type="spellStart"/>
      <w:r>
        <w:t>ABSciex</w:t>
      </w:r>
      <w:proofErr w:type="spellEnd"/>
      <w:r>
        <w:t>) was used for MRM Q1/Q3</w:t>
      </w:r>
    </w:p>
    <w:p w14:paraId="0558F8A3" w14:textId="77777777" w:rsidR="0043129A" w:rsidRDefault="0043129A" w:rsidP="0043129A">
      <w:r>
        <w:t xml:space="preserve">peak integration of the raw data files (Analyst software, v.1.6.2; </w:t>
      </w:r>
      <w:proofErr w:type="spellStart"/>
      <w:r>
        <w:t>ABSciex</w:t>
      </w:r>
      <w:proofErr w:type="spellEnd"/>
      <w:r>
        <w:t>). The peak</w:t>
      </w:r>
    </w:p>
    <w:p w14:paraId="41472AC1" w14:textId="77777777" w:rsidR="0043129A" w:rsidRDefault="0043129A" w:rsidP="0043129A">
      <w:r>
        <w:t>area corresponds to the abundance of that metabolite; the area values were then</w:t>
      </w:r>
    </w:p>
    <w:p w14:paraId="62400807" w14:textId="77777777" w:rsidR="0043129A" w:rsidRDefault="0043129A" w:rsidP="0043129A">
      <w:r>
        <w:t>normalized to their bookended pooled plasma samples, which were included after</w:t>
      </w:r>
    </w:p>
    <w:p w14:paraId="4D80CD2F" w14:textId="77777777" w:rsidR="0043129A" w:rsidRDefault="0043129A" w:rsidP="0043129A">
      <w:r>
        <w:t>every 4 study samples in the sample queue, in order to account for any</w:t>
      </w:r>
    </w:p>
    <w:p w14:paraId="573F01D2" w14:textId="10CF855B" w:rsidR="0043129A" w:rsidRDefault="0043129A" w:rsidP="0043129A">
      <w:r>
        <w:t>performance drift in the LC-MS/MS.</w:t>
      </w:r>
    </w:p>
    <w:p w14:paraId="043BBC85" w14:textId="02BBE03C" w:rsidR="0043129A" w:rsidRDefault="0043129A" w:rsidP="0043129A"/>
    <w:p w14:paraId="4A2679AC" w14:textId="77777777" w:rsidR="0043129A" w:rsidRDefault="0043129A" w:rsidP="0043129A">
      <w:r>
        <w:lastRenderedPageBreak/>
        <w:t>73. Koay, Y. C. et al. Ingestion of resistant starch by mice markedly increases</w:t>
      </w:r>
    </w:p>
    <w:p w14:paraId="7C960DD3" w14:textId="411690E7" w:rsidR="0043129A" w:rsidRDefault="0043129A" w:rsidP="0043129A">
      <w:r>
        <w:t>microbiome-derived metabolites. FASEB J. 33, 8033–8042 (2019).</w:t>
      </w:r>
    </w:p>
    <w:sectPr w:rsidR="004312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9A"/>
    <w:rsid w:val="0023019B"/>
    <w:rsid w:val="0043129A"/>
    <w:rsid w:val="009431C4"/>
    <w:rsid w:val="00BB511A"/>
    <w:rsid w:val="00F1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0F89F"/>
  <w15:chartTrackingRefBased/>
  <w15:docId w15:val="{072C4548-783D-4C92-80A2-DF877F13F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Hunter</dc:creator>
  <cp:keywords/>
  <dc:description/>
  <cp:lastModifiedBy>Ben Hunter</cp:lastModifiedBy>
  <cp:revision>2</cp:revision>
  <dcterms:created xsi:type="dcterms:W3CDTF">2023-05-24T00:51:00Z</dcterms:created>
  <dcterms:modified xsi:type="dcterms:W3CDTF">2023-05-24T00:51:00Z</dcterms:modified>
</cp:coreProperties>
</file>