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B37B3" w14:textId="77777777" w:rsidR="002817CE" w:rsidRDefault="002817CE" w:rsidP="002817CE">
      <w:pPr>
        <w:bidi w:val="0"/>
        <w:jc w:val="both"/>
        <w:rPr>
          <w:sz w:val="28"/>
          <w:szCs w:val="28"/>
        </w:rPr>
      </w:pPr>
    </w:p>
    <w:p w14:paraId="5BF90389" w14:textId="77777777" w:rsidR="002817CE" w:rsidRDefault="002817CE" w:rsidP="002817CE">
      <w:pPr>
        <w:bidi w:val="0"/>
        <w:jc w:val="both"/>
        <w:rPr>
          <w:sz w:val="28"/>
          <w:szCs w:val="28"/>
        </w:rPr>
      </w:pPr>
    </w:p>
    <w:p w14:paraId="23A7D365" w14:textId="77777777" w:rsidR="002817CE" w:rsidRPr="002817CE" w:rsidRDefault="002817CE" w:rsidP="002817CE">
      <w:pPr>
        <w:bidi w:val="0"/>
        <w:jc w:val="both"/>
        <w:rPr>
          <w:b/>
          <w:bCs/>
          <w:sz w:val="28"/>
          <w:szCs w:val="28"/>
        </w:rPr>
      </w:pPr>
      <w:r w:rsidRPr="002817CE">
        <w:rPr>
          <w:b/>
          <w:bCs/>
          <w:sz w:val="28"/>
          <w:szCs w:val="28"/>
        </w:rPr>
        <w:t>Collection protocol:</w:t>
      </w:r>
    </w:p>
    <w:p w14:paraId="1A75F046" w14:textId="726CE5D5" w:rsidR="002817CE" w:rsidRPr="002817CE" w:rsidRDefault="002817CE" w:rsidP="002817CE">
      <w:pPr>
        <w:bidi w:val="0"/>
        <w:jc w:val="both"/>
        <w:rPr>
          <w:sz w:val="28"/>
          <w:szCs w:val="28"/>
        </w:rPr>
      </w:pPr>
      <w:r w:rsidRPr="002817CE">
        <w:rPr>
          <w:sz w:val="28"/>
          <w:szCs w:val="28"/>
        </w:rPr>
        <w:t>Forty-four DBS samples were collected form biochemically and genetically confirmed MSUD newborns (n=22) at King Faisal Specialist Hospital and Research Center (KFSHRC) and healthy controls (n=22). These healthy individuals were almost age-gender matched with MSUD's group (Female 53%). Samples from newborn patients and controls elder than 14 days were excluded from this study, as well as any IEM other than MSUD</w:t>
      </w:r>
      <w:r>
        <w:rPr>
          <w:sz w:val="28"/>
          <w:szCs w:val="28"/>
        </w:rPr>
        <w:t>, or unknown gender samples were</w:t>
      </w:r>
      <w:r w:rsidRPr="002817CE">
        <w:rPr>
          <w:sz w:val="28"/>
          <w:szCs w:val="28"/>
        </w:rPr>
        <w:t xml:space="preserve"> excluded</w:t>
      </w:r>
      <w:r w:rsidRPr="002817CE">
        <w:rPr>
          <w:rFonts w:cs="Arial"/>
          <w:sz w:val="28"/>
          <w:szCs w:val="28"/>
          <w:rtl/>
        </w:rPr>
        <w:t>.</w:t>
      </w:r>
      <w:r>
        <w:rPr>
          <w:sz w:val="28"/>
          <w:szCs w:val="28"/>
        </w:rPr>
        <w:t xml:space="preserve"> This study includes MSUD newborns and healthy controls </w:t>
      </w:r>
      <w:r>
        <w:rPr>
          <w:rFonts w:ascii="Arial" w:hAnsi="Arial" w:cs="Arial"/>
          <w:sz w:val="28"/>
          <w:szCs w:val="28"/>
        </w:rPr>
        <w:t>≤</w:t>
      </w:r>
      <w:r>
        <w:rPr>
          <w:sz w:val="28"/>
          <w:szCs w:val="28"/>
        </w:rPr>
        <w:t xml:space="preserve"> 14.</w:t>
      </w:r>
    </w:p>
    <w:sectPr w:rsidR="002817CE" w:rsidRPr="002817CE" w:rsidSect="00970DBC">
      <w:pgSz w:w="12240" w:h="15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7CE"/>
    <w:rsid w:val="002817CE"/>
    <w:rsid w:val="0097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0F443C"/>
  <w15:chartTrackingRefBased/>
  <w15:docId w15:val="{A7380DAD-EAE2-43C0-8FF7-73D35A32A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عبير العتيبي ID 441203289</dc:creator>
  <cp:keywords/>
  <dc:description/>
  <cp:lastModifiedBy>عبير العتيبي ID 441203289</cp:lastModifiedBy>
  <cp:revision>1</cp:revision>
  <dcterms:created xsi:type="dcterms:W3CDTF">2023-06-05T11:57:00Z</dcterms:created>
  <dcterms:modified xsi:type="dcterms:W3CDTF">2023-06-05T12:10:00Z</dcterms:modified>
</cp:coreProperties>
</file>