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AF8" w:rsidRPr="00655AF8" w:rsidRDefault="00655AF8" w:rsidP="00655AF8">
      <w:pPr>
        <w:rPr>
          <w:b/>
        </w:rPr>
      </w:pPr>
      <w:r w:rsidRPr="00655AF8">
        <w:rPr>
          <w:b/>
        </w:rPr>
        <w:t>METHODS</w:t>
      </w:r>
    </w:p>
    <w:p w:rsidR="00655AF8" w:rsidRPr="00655AF8" w:rsidRDefault="00655AF8" w:rsidP="00655AF8">
      <w:pPr>
        <w:rPr>
          <w:b/>
        </w:rPr>
      </w:pPr>
      <w:r w:rsidRPr="00655AF8">
        <w:rPr>
          <w:b/>
        </w:rPr>
        <w:t xml:space="preserve">Animals </w:t>
      </w:r>
    </w:p>
    <w:p w:rsidR="00655AF8" w:rsidRDefault="00655AF8" w:rsidP="00655AF8">
      <w:r>
        <w:t xml:space="preserve">C57BL/6J, Thy1 CFP (B6.Cg-Tg(Thy1-CFP)23Jrs/J; Stock No: 003710; Jackson Laboratory) and OPN4 </w:t>
      </w:r>
      <w:proofErr w:type="spellStart"/>
      <w:r w:rsidRPr="00B96591">
        <w:rPr>
          <w:vertAlign w:val="superscript"/>
        </w:rPr>
        <w:t>Cre</w:t>
      </w:r>
      <w:proofErr w:type="spellEnd"/>
      <w:r w:rsidRPr="00B96591">
        <w:rPr>
          <w:vertAlign w:val="superscript"/>
        </w:rPr>
        <w:t>/+</w:t>
      </w:r>
      <w:r>
        <w:t xml:space="preserve">; R26 </w:t>
      </w:r>
      <w:proofErr w:type="spellStart"/>
      <w:r>
        <w:t>tdTomato</w:t>
      </w:r>
      <w:proofErr w:type="spellEnd"/>
      <w:r>
        <w:t xml:space="preserve"> </w:t>
      </w:r>
      <w:r w:rsidRPr="00B96591">
        <w:rPr>
          <w:vertAlign w:val="superscript"/>
        </w:rPr>
        <w:t xml:space="preserve">f/f </w:t>
      </w:r>
      <w:r>
        <w:t>mice (a generous gift Dr. Fan Wang of Duke University) from between 9 -11 weeks of age were used in this study. All experimental procedures were performed in compliance with protocols approved by the Institutional Animal Care and Use Committee (IACUC) at University of Miami. For all surgical procedures, mice were anaesthetized with iso</w:t>
      </w:r>
      <w:r w:rsidR="00B96591">
        <w:t>flurane, and buprenorphine (0.1</w:t>
      </w:r>
      <w:r>
        <w:t xml:space="preserve"> mg/kg) was administrated as post-operative analgesic.</w:t>
      </w:r>
    </w:p>
    <w:p w:rsidR="00655AF8" w:rsidRPr="00655AF8" w:rsidRDefault="00655AF8" w:rsidP="00655AF8">
      <w:pPr>
        <w:rPr>
          <w:b/>
        </w:rPr>
      </w:pPr>
      <w:r w:rsidRPr="00655AF8">
        <w:rPr>
          <w:b/>
        </w:rPr>
        <w:t>Intravitreal Injection</w:t>
      </w:r>
    </w:p>
    <w:p w:rsidR="00655AF8" w:rsidRDefault="00655AF8" w:rsidP="00655AF8">
      <w:r>
        <w:t xml:space="preserve">Female or male mice were intravitreal injected bilaterally with 2 </w:t>
      </w:r>
      <w:proofErr w:type="spellStart"/>
      <w:r>
        <w:t>ul</w:t>
      </w:r>
      <w:proofErr w:type="spellEnd"/>
      <w:r>
        <w:t xml:space="preserve"> of AAV2-CNTF, AAV2-tdTomato or AAV2-GFP. Adenovirus used in this study, were generated as described in our previous publication</w:t>
      </w:r>
      <w:r w:rsidR="00A440DC">
        <w:t>s</w:t>
      </w:r>
      <w:r>
        <w:t xml:space="preserve"> (2-3). Injections were performed with a Hamilton syringe (Hamilton) and a glass micropipette was inserted into the peripheral retina, just behind the </w:t>
      </w:r>
      <w:proofErr w:type="spellStart"/>
      <w:r>
        <w:t>ora</w:t>
      </w:r>
      <w:proofErr w:type="spellEnd"/>
      <w:r>
        <w:t xml:space="preserve"> </w:t>
      </w:r>
      <w:proofErr w:type="spellStart"/>
      <w:r>
        <w:t>serrata</w:t>
      </w:r>
      <w:proofErr w:type="spellEnd"/>
      <w:r>
        <w:t xml:space="preserve">, and was angled to avoid damage to the lens. </w:t>
      </w:r>
    </w:p>
    <w:p w:rsidR="00655AF8" w:rsidRPr="00655AF8" w:rsidRDefault="00655AF8" w:rsidP="00655AF8">
      <w:pPr>
        <w:rPr>
          <w:b/>
        </w:rPr>
      </w:pPr>
      <w:r w:rsidRPr="00655AF8">
        <w:rPr>
          <w:b/>
        </w:rPr>
        <w:t>Optic Nerve Crush</w:t>
      </w:r>
    </w:p>
    <w:p w:rsidR="00655AF8" w:rsidRDefault="00655AF8" w:rsidP="00655AF8">
      <w:r>
        <w:t xml:space="preserve">One week after AAV intravitreal injection, optic nerve crush injury was performed. Optic nerve was exposed </w:t>
      </w:r>
      <w:proofErr w:type="spellStart"/>
      <w:r>
        <w:t>intraorbitally</w:t>
      </w:r>
      <w:proofErr w:type="spellEnd"/>
      <w:r>
        <w:t xml:space="preserve"> and crushed with jeweler’s forceps (Dumont #5, </w:t>
      </w:r>
      <w:proofErr w:type="spellStart"/>
      <w:r>
        <w:t>Roboz</w:t>
      </w:r>
      <w:proofErr w:type="spellEnd"/>
      <w:r>
        <w:t xml:space="preserve">) for 10 s </w:t>
      </w:r>
      <w:r>
        <w:rPr>
          <w:rFonts w:ascii="Cambria Math" w:hAnsi="Cambria Math" w:cs="Cambria Math"/>
        </w:rPr>
        <w:t>∼</w:t>
      </w:r>
      <w:r>
        <w:t>1 mm behind the optic disc.</w:t>
      </w:r>
    </w:p>
    <w:p w:rsidR="00655AF8" w:rsidRPr="00655AF8" w:rsidRDefault="00655AF8" w:rsidP="00655AF8">
      <w:pPr>
        <w:rPr>
          <w:b/>
        </w:rPr>
      </w:pPr>
      <w:r w:rsidRPr="00655AF8">
        <w:rPr>
          <w:b/>
        </w:rPr>
        <w:t>Retinal Ganglion Cells Purification</w:t>
      </w:r>
    </w:p>
    <w:p w:rsidR="00655AF8" w:rsidRDefault="00655AF8" w:rsidP="00655AF8">
      <w:r>
        <w:t>Three days after optic nerve crush mice were euthanized by CO2 inhalation, then cervical dislocation followed by enucleation. Retinas were dissociated using papain digestion (17 U/ ml papain, Worthington; 5.5 </w:t>
      </w:r>
      <w:proofErr w:type="spellStart"/>
      <w:r>
        <w:t>mM</w:t>
      </w:r>
      <w:proofErr w:type="spellEnd"/>
      <w:r>
        <w:t xml:space="preserve"> L-cysteine; 0.006% DNase; 1.1 </w:t>
      </w:r>
      <w:proofErr w:type="spellStart"/>
      <w:r>
        <w:t>mM</w:t>
      </w:r>
      <w:proofErr w:type="spellEnd"/>
      <w:r>
        <w:t xml:space="preserve"> EDTA in DMEM/2% B27) during 30 minutes at 37°C as previously described at (1).  After digestion, retinas were washed in DMEM, gently triturated using a Pasteur pipet and centrifuged at 300 g x 5 min at RT. Dissociated cells were </w:t>
      </w:r>
      <w:proofErr w:type="spellStart"/>
      <w:r>
        <w:t>resuspended</w:t>
      </w:r>
      <w:proofErr w:type="spellEnd"/>
      <w:r>
        <w:t xml:space="preserve"> in DMEM/2% B27, passed through a 35 µm cell strainer and placed on ice until use. Dissociated retinal cells were stained with Ghost red 780 (TONBO Biosciences) to exclude non-viable cells and then separated by BD FACS SORP Aria-</w:t>
      </w:r>
      <w:proofErr w:type="spellStart"/>
      <w:r>
        <w:t>IIu</w:t>
      </w:r>
      <w:proofErr w:type="spellEnd"/>
      <w:r>
        <w:t xml:space="preserve"> (BD Biosciences). C57BL/6J dissociated retinal cells were used to set up the negative population threshold allowing cells expressing CFP and </w:t>
      </w:r>
      <w:proofErr w:type="spellStart"/>
      <w:r>
        <w:t>tdTomato</w:t>
      </w:r>
      <w:proofErr w:type="spellEnd"/>
      <w:r>
        <w:t xml:space="preserve"> to be identified. Sorted cells were collected in PBS and immediately frozen at -80°C.</w:t>
      </w:r>
    </w:p>
    <w:p w:rsidR="00655AF8" w:rsidRPr="00655AF8" w:rsidRDefault="00655AF8" w:rsidP="00655AF8">
      <w:pPr>
        <w:rPr>
          <w:b/>
        </w:rPr>
      </w:pPr>
      <w:r w:rsidRPr="00655AF8">
        <w:rPr>
          <w:b/>
        </w:rPr>
        <w:t>Tissue Preparation and Immunohistochemistry</w:t>
      </w:r>
    </w:p>
    <w:p w:rsidR="00655AF8" w:rsidRDefault="00655AF8" w:rsidP="00655AF8">
      <w:r>
        <w:t xml:space="preserve">Thy1 CFP mice were perfused </w:t>
      </w:r>
      <w:proofErr w:type="spellStart"/>
      <w:r>
        <w:t>transcardially</w:t>
      </w:r>
      <w:proofErr w:type="spellEnd"/>
      <w:r>
        <w:t xml:space="preserve"> with PBS followed by 4% paraformaldehyde (PFA) in PBS, then eyes were dissected and </w:t>
      </w:r>
      <w:proofErr w:type="spellStart"/>
      <w:r>
        <w:t>postfixed</w:t>
      </w:r>
      <w:proofErr w:type="spellEnd"/>
      <w:r>
        <w:t xml:space="preserve"> with 4% PFA in PBS overnight at 4°C. Samples were </w:t>
      </w:r>
      <w:proofErr w:type="spellStart"/>
      <w:r>
        <w:t>cryoprotected</w:t>
      </w:r>
      <w:proofErr w:type="spellEnd"/>
      <w:r>
        <w:t xml:space="preserve"> by incubating in 30% sucrose in PBS for 48 hours. Eyes were </w:t>
      </w:r>
      <w:proofErr w:type="spellStart"/>
      <w:r>
        <w:t>cryosectioned</w:t>
      </w:r>
      <w:proofErr w:type="spellEnd"/>
      <w:r>
        <w:t xml:space="preserve"> to 16-μm thickness. Tissue sections were blocked in 5% normal donkey serum and 0.3% Triton X-100 in PBS for 1 hour and incubated with primary antibodies diluted in blocking buffer overnight at 4°C, followed by 1-hour incubation with secondary antibodies at room temperature. Primary antibodies used were 1:200 dilution anti-RBPMS (</w:t>
      </w:r>
      <w:proofErr w:type="spellStart"/>
      <w:r>
        <w:t>PhosphoSolutions</w:t>
      </w:r>
      <w:proofErr w:type="spellEnd"/>
      <w:r>
        <w:t>; cat# 1830) and 1:1000 dilution anti-GFP (</w:t>
      </w:r>
      <w:proofErr w:type="spellStart"/>
      <w:r>
        <w:t>Abcam</w:t>
      </w:r>
      <w:proofErr w:type="spellEnd"/>
      <w:r>
        <w:t>; cat#13970).  Secondary antibodies used at dilution of 1:1000 were Alexa Fluor 568 (</w:t>
      </w:r>
      <w:proofErr w:type="spellStart"/>
      <w:r>
        <w:t>Thermo</w:t>
      </w:r>
      <w:proofErr w:type="spellEnd"/>
      <w:r>
        <w:t xml:space="preserve"> Fisher Scientific) and Alexa Fluor 488 (Jackson </w:t>
      </w:r>
      <w:proofErr w:type="spellStart"/>
      <w:r>
        <w:t>ImmunoResearch</w:t>
      </w:r>
      <w:proofErr w:type="spellEnd"/>
      <w:r>
        <w:t>).</w:t>
      </w:r>
    </w:p>
    <w:p w:rsidR="00655AF8" w:rsidRPr="00655AF8" w:rsidRDefault="00655AF8" w:rsidP="00655AF8">
      <w:pPr>
        <w:rPr>
          <w:b/>
        </w:rPr>
      </w:pPr>
      <w:r w:rsidRPr="00655AF8">
        <w:rPr>
          <w:b/>
        </w:rPr>
        <w:lastRenderedPageBreak/>
        <w:t>RT-qPCR</w:t>
      </w:r>
    </w:p>
    <w:p w:rsidR="00655AF8" w:rsidRDefault="00655AF8" w:rsidP="00655AF8">
      <w:r>
        <w:t xml:space="preserve">For qPCR, 500 </w:t>
      </w:r>
      <w:proofErr w:type="spellStart"/>
      <w:r>
        <w:t>pg</w:t>
      </w:r>
      <w:proofErr w:type="spellEnd"/>
      <w:r>
        <w:t xml:space="preserve"> of total RNA was </w:t>
      </w:r>
      <w:proofErr w:type="gramStart"/>
      <w:r>
        <w:t>Poly(</w:t>
      </w:r>
      <w:proofErr w:type="gramEnd"/>
      <w:r>
        <w:t xml:space="preserve">A) amplified and reverse transcribed with </w:t>
      </w:r>
      <w:proofErr w:type="spellStart"/>
      <w:r>
        <w:t>MessageBOOSTER</w:t>
      </w:r>
      <w:proofErr w:type="spellEnd"/>
      <w:r>
        <w:t>™ cDNA Synthesis Kit for qPCR  (</w:t>
      </w:r>
      <w:proofErr w:type="spellStart"/>
      <w:r>
        <w:t>Lucigen</w:t>
      </w:r>
      <w:proofErr w:type="spellEnd"/>
      <w:r>
        <w:t xml:space="preserve">). Real-time PCR was performed using </w:t>
      </w:r>
      <w:proofErr w:type="spellStart"/>
      <w:r>
        <w:t>PowerUp</w:t>
      </w:r>
      <w:proofErr w:type="spellEnd"/>
      <w:r>
        <w:t xml:space="preserve">™ SYBR® Green Master Mix (Applied </w:t>
      </w:r>
      <w:proofErr w:type="spellStart"/>
      <w:r>
        <w:t>Biosystems</w:t>
      </w:r>
      <w:proofErr w:type="spellEnd"/>
      <w:r>
        <w:t xml:space="preserve">) on a </w:t>
      </w:r>
      <w:proofErr w:type="spellStart"/>
      <w:r>
        <w:t>QuantStudio</w:t>
      </w:r>
      <w:proofErr w:type="spellEnd"/>
      <w:r>
        <w:t xml:space="preserve"> 3 (Applied </w:t>
      </w:r>
      <w:proofErr w:type="spellStart"/>
      <w:r>
        <w:t>Biosystems</w:t>
      </w:r>
      <w:proofErr w:type="spellEnd"/>
      <w:r>
        <w:t xml:space="preserve">). HPRT </w:t>
      </w:r>
      <w:proofErr w:type="gramStart"/>
      <w:r>
        <w:t>was used</w:t>
      </w:r>
      <w:proofErr w:type="gramEnd"/>
      <w:r>
        <w:t xml:space="preserve"> as the endogenous control.</w:t>
      </w:r>
    </w:p>
    <w:p w:rsidR="00215760" w:rsidRDefault="00215760" w:rsidP="00655AF8"/>
    <w:p w:rsidR="00655AF8" w:rsidRDefault="00655AF8" w:rsidP="00655AF8">
      <w:pPr>
        <w:pStyle w:val="ListParagraph"/>
        <w:numPr>
          <w:ilvl w:val="0"/>
          <w:numId w:val="1"/>
        </w:numPr>
      </w:pPr>
      <w:r>
        <w:t xml:space="preserve">A method for preparing primary retinal cell cultures for evaluating the neuroprotective and </w:t>
      </w:r>
      <w:proofErr w:type="spellStart"/>
      <w:r>
        <w:t>neuritogenic</w:t>
      </w:r>
      <w:proofErr w:type="spellEnd"/>
      <w:r>
        <w:t xml:space="preserve"> effect of factors on </w:t>
      </w:r>
      <w:proofErr w:type="spellStart"/>
      <w:r>
        <w:t>axotomized</w:t>
      </w:r>
      <w:proofErr w:type="spellEnd"/>
      <w:r>
        <w:t xml:space="preserve"> mature CNS neurons. </w:t>
      </w:r>
      <w:proofErr w:type="spellStart"/>
      <w:r>
        <w:t>Grozdanov</w:t>
      </w:r>
      <w:proofErr w:type="spellEnd"/>
      <w:r>
        <w:t xml:space="preserve"> V, Müller A, </w:t>
      </w:r>
      <w:proofErr w:type="spellStart"/>
      <w:r>
        <w:t>Sengottuvel</w:t>
      </w:r>
      <w:proofErr w:type="spellEnd"/>
      <w:r>
        <w:t xml:space="preserve"> V, </w:t>
      </w:r>
      <w:proofErr w:type="spellStart"/>
      <w:r>
        <w:t>Leibinger</w:t>
      </w:r>
      <w:proofErr w:type="spellEnd"/>
      <w:r>
        <w:t xml:space="preserve"> M, Fischer D. </w:t>
      </w:r>
      <w:proofErr w:type="spellStart"/>
      <w:r>
        <w:t>Curr</w:t>
      </w:r>
      <w:proofErr w:type="spellEnd"/>
      <w:r>
        <w:t xml:space="preserve"> </w:t>
      </w:r>
      <w:proofErr w:type="spellStart"/>
      <w:r>
        <w:t>Protoc</w:t>
      </w:r>
      <w:proofErr w:type="spellEnd"/>
      <w:r>
        <w:t xml:space="preserve"> </w:t>
      </w:r>
      <w:proofErr w:type="spellStart"/>
      <w:r>
        <w:t>Neurosci</w:t>
      </w:r>
      <w:proofErr w:type="spellEnd"/>
      <w:r>
        <w:t xml:space="preserve">. 2010 Oct; Chapter 3:Unit3.22. </w:t>
      </w:r>
      <w:proofErr w:type="spellStart"/>
      <w:proofErr w:type="gramStart"/>
      <w:r>
        <w:t>doi</w:t>
      </w:r>
      <w:proofErr w:type="spellEnd"/>
      <w:proofErr w:type="gramEnd"/>
      <w:r>
        <w:t>: 10.1002/0471142301.ns0322s53.</w:t>
      </w:r>
    </w:p>
    <w:p w:rsidR="00655AF8" w:rsidRDefault="00655AF8" w:rsidP="00655AF8">
      <w:pPr>
        <w:pStyle w:val="ListParagraph"/>
        <w:numPr>
          <w:ilvl w:val="0"/>
          <w:numId w:val="1"/>
        </w:numPr>
      </w:pPr>
      <w:r>
        <w:t xml:space="preserve">Viral vector-based improvement of optic nerve regeneration: characterization of individual axons' growth patterns and synaptogenesis in a visual target. </w:t>
      </w:r>
      <w:proofErr w:type="spellStart"/>
      <w:r>
        <w:t>Yungher</w:t>
      </w:r>
      <w:proofErr w:type="spellEnd"/>
      <w:r>
        <w:t xml:space="preserve"> BJ, Luo X, </w:t>
      </w:r>
      <w:proofErr w:type="spellStart"/>
      <w:r>
        <w:t>Salgueiro</w:t>
      </w:r>
      <w:proofErr w:type="spellEnd"/>
      <w:r>
        <w:t xml:space="preserve"> Y, Blackmore MG, Park KK. Gene </w:t>
      </w:r>
      <w:proofErr w:type="spellStart"/>
      <w:r>
        <w:t>Ther</w:t>
      </w:r>
      <w:proofErr w:type="spellEnd"/>
      <w:r>
        <w:t>. 2015 Oct</w:t>
      </w:r>
      <w:proofErr w:type="gramStart"/>
      <w:r>
        <w:t>;22</w:t>
      </w:r>
      <w:proofErr w:type="gramEnd"/>
      <w:r>
        <w:t xml:space="preserve">(10):811-21. </w:t>
      </w:r>
      <w:proofErr w:type="spellStart"/>
      <w:proofErr w:type="gramStart"/>
      <w:r>
        <w:t>doi</w:t>
      </w:r>
      <w:proofErr w:type="spellEnd"/>
      <w:proofErr w:type="gramEnd"/>
      <w:r>
        <w:t xml:space="preserve">: 10.1038/gt.2015.51. </w:t>
      </w:r>
      <w:proofErr w:type="spellStart"/>
      <w:r>
        <w:t>Epub</w:t>
      </w:r>
      <w:proofErr w:type="spellEnd"/>
      <w:r>
        <w:t xml:space="preserve"> 2015 May 25.</w:t>
      </w:r>
    </w:p>
    <w:p w:rsidR="000C231C" w:rsidRDefault="00655AF8" w:rsidP="00655AF8">
      <w:pPr>
        <w:pStyle w:val="ListParagraph"/>
        <w:numPr>
          <w:ilvl w:val="0"/>
          <w:numId w:val="1"/>
        </w:numPr>
      </w:pPr>
      <w:r>
        <w:t xml:space="preserve">Enhanced Transcriptional Activity and Mitochondrial Localization of STAT3 Co-induce Axon Regrowth in the Adult Central Nervous System. Luo X, Ribeiro M, Bray ER, Lee DH, </w:t>
      </w:r>
      <w:proofErr w:type="spellStart"/>
      <w:r>
        <w:t>Yungher</w:t>
      </w:r>
      <w:proofErr w:type="spellEnd"/>
      <w:r>
        <w:t xml:space="preserve"> BJ, Mehta ST, </w:t>
      </w:r>
      <w:proofErr w:type="spellStart"/>
      <w:r>
        <w:t>Thakor</w:t>
      </w:r>
      <w:proofErr w:type="spellEnd"/>
      <w:r>
        <w:t xml:space="preserve"> KA, Diaz F, Lee JK, </w:t>
      </w:r>
      <w:proofErr w:type="spellStart"/>
      <w:r>
        <w:t>Moraes</w:t>
      </w:r>
      <w:proofErr w:type="spellEnd"/>
      <w:r>
        <w:t xml:space="preserve"> CT, Bixby JL, Lemmon VP, Park KK. Cell Rep. 2016 Apr 12</w:t>
      </w:r>
      <w:proofErr w:type="gramStart"/>
      <w:r>
        <w:t>;15</w:t>
      </w:r>
      <w:proofErr w:type="gramEnd"/>
      <w:r>
        <w:t xml:space="preserve">(2):398-410. </w:t>
      </w:r>
      <w:proofErr w:type="spellStart"/>
      <w:proofErr w:type="gramStart"/>
      <w:r>
        <w:t>doi</w:t>
      </w:r>
      <w:proofErr w:type="spellEnd"/>
      <w:proofErr w:type="gramEnd"/>
      <w:r>
        <w:t xml:space="preserve">: 10.1016/j.celrep.2016.03.029. </w:t>
      </w:r>
      <w:proofErr w:type="spellStart"/>
      <w:r>
        <w:t>Epub</w:t>
      </w:r>
      <w:proofErr w:type="spellEnd"/>
      <w:r>
        <w:t xml:space="preserve"> 2016 Mar 31.</w:t>
      </w:r>
    </w:p>
    <w:p w:rsidR="00215760" w:rsidRDefault="00215760" w:rsidP="00215760">
      <w:pPr>
        <w:pStyle w:val="ListParagraph"/>
      </w:pPr>
    </w:p>
    <w:p w:rsidR="00215760" w:rsidRDefault="00215760" w:rsidP="006025EC">
      <w:pPr>
        <w:rPr>
          <w:b/>
        </w:rPr>
      </w:pPr>
    </w:p>
    <w:p w:rsidR="006025EC" w:rsidRPr="006025EC" w:rsidRDefault="006025EC" w:rsidP="006025EC">
      <w:pPr>
        <w:rPr>
          <w:b/>
        </w:rPr>
      </w:pPr>
      <w:r w:rsidRPr="006025EC">
        <w:rPr>
          <w:b/>
        </w:rPr>
        <w:t>Lipid profiling</w:t>
      </w:r>
    </w:p>
    <w:p w:rsidR="006025EC" w:rsidRPr="006025EC" w:rsidRDefault="006025EC" w:rsidP="006025EC">
      <w:pPr>
        <w:rPr>
          <w:u w:val="single"/>
        </w:rPr>
      </w:pPr>
      <w:r w:rsidRPr="006025EC">
        <w:rPr>
          <w:u w:val="single"/>
        </w:rPr>
        <w:t>Sample preparation</w:t>
      </w:r>
    </w:p>
    <w:p w:rsidR="006025EC" w:rsidRDefault="006025EC" w:rsidP="006025EC">
      <w:r>
        <w:t>Sample were stored at -80</w:t>
      </w:r>
      <w:r w:rsidR="00215760">
        <w:t>˚</w:t>
      </w:r>
      <w:r>
        <w:t xml:space="preserve">C until extracted. 2 mL of methanol (LC-MS grade) and 1 mL of chloroform (LC-MS grade) </w:t>
      </w:r>
      <w:proofErr w:type="gramStart"/>
      <w:r>
        <w:t>were added</w:t>
      </w:r>
      <w:proofErr w:type="gramEnd"/>
      <w:r>
        <w:t xml:space="preserve"> to each sample. After 2 min vigorous </w:t>
      </w:r>
      <w:proofErr w:type="spellStart"/>
      <w:r>
        <w:t>vortexing</w:t>
      </w:r>
      <w:proofErr w:type="spellEnd"/>
      <w:r>
        <w:t xml:space="preserve"> and 2 min sonication in ultrasonic bath, 1.5 mL of ultrapure water and 0.75 mL of chloroform </w:t>
      </w:r>
      <w:proofErr w:type="gramStart"/>
      <w:r>
        <w:t>were added</w:t>
      </w:r>
      <w:proofErr w:type="gramEnd"/>
      <w:r>
        <w:t>, samples vigorously vortexed for 2 min and centrifuged at 3000 RCF, 4</w:t>
      </w:r>
      <w:r w:rsidR="00215760">
        <w:t>˚</w:t>
      </w:r>
      <w:r>
        <w:t xml:space="preserve">C for 15 min to obtain phase separation. Lower phases </w:t>
      </w:r>
      <w:proofErr w:type="gramStart"/>
      <w:r>
        <w:t>were collected and dried in centrifugal vacuum concentrator</w:t>
      </w:r>
      <w:proofErr w:type="gramEnd"/>
      <w:r>
        <w:t>. Samples were stored at -20</w:t>
      </w:r>
      <w:r w:rsidR="00215760">
        <w:t>˚</w:t>
      </w:r>
      <w:r>
        <w:t xml:space="preserve">C until reconstituted in 150 µL of </w:t>
      </w:r>
      <w:proofErr w:type="spellStart"/>
      <w:r>
        <w:t>chloroform</w:t>
      </w:r>
      <w:proofErr w:type="gramStart"/>
      <w:r>
        <w:t>:methanol</w:t>
      </w:r>
      <w:proofErr w:type="spellEnd"/>
      <w:proofErr w:type="gramEnd"/>
      <w:r>
        <w:t xml:space="preserve"> (1:1) prior to mass spectrometry. Quality control (QC) sample obtained by pooling KPF_1-30 </w:t>
      </w:r>
      <w:proofErr w:type="gramStart"/>
      <w:r>
        <w:t>was run</w:t>
      </w:r>
      <w:proofErr w:type="gramEnd"/>
      <w:r>
        <w:t xml:space="preserve"> 6 times throughout KPF_1-30 analysis. </w:t>
      </w:r>
    </w:p>
    <w:p w:rsidR="006025EC" w:rsidRPr="006025EC" w:rsidRDefault="006025EC" w:rsidP="006025EC">
      <w:pPr>
        <w:rPr>
          <w:u w:val="single"/>
        </w:rPr>
      </w:pPr>
      <w:r w:rsidRPr="006025EC">
        <w:rPr>
          <w:u w:val="single"/>
        </w:rPr>
        <w:t>High performance liquid chromatography (HPLC)</w:t>
      </w:r>
    </w:p>
    <w:p w:rsidR="006025EC" w:rsidRDefault="006025EC" w:rsidP="006025EC">
      <w:r>
        <w:t xml:space="preserve">Reversed phase chromatographic separation utilized Accela </w:t>
      </w:r>
      <w:proofErr w:type="spellStart"/>
      <w:r>
        <w:t>Autosampler</w:t>
      </w:r>
      <w:proofErr w:type="spellEnd"/>
      <w:r>
        <w:t xml:space="preserve">, Accela 600 pump and Acclaim C30 column: </w:t>
      </w:r>
      <w:proofErr w:type="gramStart"/>
      <w:r>
        <w:t>3</w:t>
      </w:r>
      <w:proofErr w:type="gramEnd"/>
      <w:r>
        <w:t xml:space="preserve"> µm, 2.1x150 mm (</w:t>
      </w:r>
      <w:proofErr w:type="spellStart"/>
      <w:r>
        <w:t>Thermo</w:t>
      </w:r>
      <w:proofErr w:type="spellEnd"/>
      <w:r>
        <w:t xml:space="preserve">, Waltham, MA). The column temperature </w:t>
      </w:r>
      <w:proofErr w:type="gramStart"/>
      <w:r>
        <w:t>was maintained</w:t>
      </w:r>
      <w:proofErr w:type="gramEnd"/>
      <w:r>
        <w:t xml:space="preserve"> at 30</w:t>
      </w:r>
      <w:r w:rsidR="00215760">
        <w:t>˚</w:t>
      </w:r>
      <w:r>
        <w:t>C and tray temperature at 20</w:t>
      </w:r>
      <w:r w:rsidR="00215760">
        <w:t>˚</w:t>
      </w:r>
      <w:r>
        <w:t xml:space="preserve">C. Solvent A was composed of 10 </w:t>
      </w:r>
      <w:proofErr w:type="spellStart"/>
      <w:r>
        <w:t>mM</w:t>
      </w:r>
      <w:proofErr w:type="spellEnd"/>
      <w:r>
        <w:t xml:space="preserve"> ammonium acetate (LC-MS grade) in 60:40 </w:t>
      </w:r>
      <w:proofErr w:type="spellStart"/>
      <w:r>
        <w:t>methanol</w:t>
      </w:r>
      <w:proofErr w:type="gramStart"/>
      <w:r>
        <w:t>:water</w:t>
      </w:r>
      <w:proofErr w:type="spellEnd"/>
      <w:proofErr w:type="gramEnd"/>
      <w:r>
        <w:t xml:space="preserve"> (LC-MS grade) with 0.2% formic acid (FA; LC-MS grade). Solvent B was composed of 10 </w:t>
      </w:r>
      <w:proofErr w:type="spellStart"/>
      <w:r>
        <w:t>mM</w:t>
      </w:r>
      <w:proofErr w:type="spellEnd"/>
      <w:r>
        <w:t xml:space="preserve"> ammonium acetate with 60:40 </w:t>
      </w:r>
      <w:proofErr w:type="spellStart"/>
      <w:r>
        <w:t>methanol</w:t>
      </w:r>
      <w:proofErr w:type="gramStart"/>
      <w:r>
        <w:t>:chloroform</w:t>
      </w:r>
      <w:proofErr w:type="spellEnd"/>
      <w:proofErr w:type="gramEnd"/>
      <w:r>
        <w:t xml:space="preserve"> with 0.2% FA. The flow rate was 260 µL/min and injection volume was 10 µL. The gradient was 35-100% solvent B over 13.0 min, 100% solvent B over 13.0-13.8 min, 100-35% solvent B over 13.8-14.5 min, 35% solvent B over 14.5-18.0 min, 0% solvent B over 18.0-20.0 min.</w:t>
      </w:r>
    </w:p>
    <w:p w:rsidR="006025EC" w:rsidRPr="006025EC" w:rsidRDefault="006025EC" w:rsidP="006025EC">
      <w:pPr>
        <w:rPr>
          <w:u w:val="single"/>
        </w:rPr>
      </w:pPr>
      <w:r w:rsidRPr="006025EC">
        <w:rPr>
          <w:u w:val="single"/>
        </w:rPr>
        <w:t>Mass spectrometry</w:t>
      </w:r>
    </w:p>
    <w:p w:rsidR="006025EC" w:rsidRDefault="006025EC" w:rsidP="006025EC">
      <w:r>
        <w:lastRenderedPageBreak/>
        <w:t xml:space="preserve">The Q </w:t>
      </w:r>
      <w:proofErr w:type="spellStart"/>
      <w:r>
        <w:t>Exactive</w:t>
      </w:r>
      <w:proofErr w:type="spellEnd"/>
      <w:r>
        <w:t xml:space="preserve"> (</w:t>
      </w:r>
      <w:proofErr w:type="spellStart"/>
      <w:r>
        <w:t>Thermo</w:t>
      </w:r>
      <w:proofErr w:type="spellEnd"/>
      <w:r>
        <w:t xml:space="preserve">) mass spectrometer </w:t>
      </w:r>
      <w:proofErr w:type="gramStart"/>
      <w:r>
        <w:t>was operated</w:t>
      </w:r>
      <w:proofErr w:type="gramEnd"/>
      <w:r>
        <w:t xml:space="preserve"> under heated electrospray ionization (HESI) in positive and negative mode separately. The spray voltage was set to 4.4 kV, the heated capillary was held at 310</w:t>
      </w:r>
      <w:r w:rsidR="00215760">
        <w:t>˚</w:t>
      </w:r>
      <w:r>
        <w:t>C (negative mode) or 350</w:t>
      </w:r>
      <w:r w:rsidR="00215760">
        <w:t>˚</w:t>
      </w:r>
      <w:r>
        <w:t xml:space="preserve">C (positive mode) and heater at 275°C (positive mode). The S-lens radio frequency (RF) level was set to 70. The sheath gas flow rate was set to 30 (negative mode) or 45 units (positive mode) and auxiliary gas to 14 (negative mode) or 15 units (positive mode). </w:t>
      </w:r>
      <w:proofErr w:type="gramStart"/>
      <w:r>
        <w:t>Full scan used resolution 70,000 with automatic gain control (AGC) target of 1x10</w:t>
      </w:r>
      <w:r w:rsidRPr="00215760">
        <w:rPr>
          <w:vertAlign w:val="superscript"/>
        </w:rPr>
        <w:t>6</w:t>
      </w:r>
      <w:r>
        <w:t xml:space="preserve"> ions and maximum ion injection time (IT) of 100 </w:t>
      </w:r>
      <w:proofErr w:type="spellStart"/>
      <w:r>
        <w:t>ms.</w:t>
      </w:r>
      <w:proofErr w:type="spellEnd"/>
      <w:r>
        <w:t xml:space="preserve"> Data-dependent MS/MS (top10) were acquired using the following parameters: resolution 17,500; AGC 1x10</w:t>
      </w:r>
      <w:r w:rsidRPr="00215760">
        <w:rPr>
          <w:vertAlign w:val="superscript"/>
        </w:rPr>
        <w:t>5</w:t>
      </w:r>
      <w:r>
        <w:t xml:space="preserve">; maximum IT 75 </w:t>
      </w:r>
      <w:proofErr w:type="spellStart"/>
      <w:r>
        <w:t>ms</w:t>
      </w:r>
      <w:proofErr w:type="spellEnd"/>
      <w:r>
        <w:t xml:space="preserve">; 1.3 m/z isolation window; </w:t>
      </w:r>
      <w:proofErr w:type="spellStart"/>
      <w:r>
        <w:t>underfill</w:t>
      </w:r>
      <w:proofErr w:type="spellEnd"/>
      <w:r>
        <w:t xml:space="preserve"> ratio 0.1%; intensity threshold 1x10</w:t>
      </w:r>
      <w:r w:rsidRPr="00215760">
        <w:rPr>
          <w:vertAlign w:val="superscript"/>
        </w:rPr>
        <w:t>3</w:t>
      </w:r>
      <w:r>
        <w:t>; dynamic exclusion time 3 s. Normalized collision energy (NCE) settings were: 15, 30, 45, 60, 75, 90 (in positive and negative mode separately; total 12 runs per sample).</w:t>
      </w:r>
      <w:proofErr w:type="gramEnd"/>
    </w:p>
    <w:p w:rsidR="006025EC" w:rsidRPr="006025EC" w:rsidRDefault="006025EC" w:rsidP="006025EC">
      <w:pPr>
        <w:rPr>
          <w:u w:val="single"/>
        </w:rPr>
      </w:pPr>
      <w:r w:rsidRPr="006025EC">
        <w:rPr>
          <w:u w:val="single"/>
        </w:rPr>
        <w:t>Lipid identification and quantification</w:t>
      </w:r>
    </w:p>
    <w:p w:rsidR="006025EC" w:rsidRDefault="006025EC" w:rsidP="006025EC">
      <w:r>
        <w:t xml:space="preserve">Lipid identification and relative quantification </w:t>
      </w:r>
      <w:proofErr w:type="gramStart"/>
      <w:r>
        <w:t>were performed</w:t>
      </w:r>
      <w:proofErr w:type="gramEnd"/>
      <w:r>
        <w:t xml:space="preserve"> using LipidSearch 4.1 software (</w:t>
      </w:r>
      <w:proofErr w:type="spellStart"/>
      <w:r>
        <w:t>Thermo</w:t>
      </w:r>
      <w:proofErr w:type="spellEnd"/>
      <w:r>
        <w:t>). The search criteria were as follows: product search; parent m/z tolerance 5 ppm; product m/z tolerance 5 ppm</w:t>
      </w:r>
      <w:proofErr w:type="gramStart"/>
      <w:r>
        <w:t>;</w:t>
      </w:r>
      <w:proofErr w:type="gramEnd"/>
      <w:r>
        <w:t xml:space="preserve"> quantification: m/z tolerance 5 ppm, retention time tolerance 1 min. The following adducts were allowed in positive mode: +H, +NH4, +H-H2O, +H-2H2O, +2H, +Na, +K and negative mode: -H, +HCOO, +CH3COO, -2H, -Cl. All classes </w:t>
      </w:r>
      <w:proofErr w:type="gramStart"/>
      <w:r>
        <w:t>were selected</w:t>
      </w:r>
      <w:proofErr w:type="gramEnd"/>
      <w:r>
        <w:t xml:space="preserve"> for search.</w:t>
      </w:r>
    </w:p>
    <w:p w:rsidR="006025EC" w:rsidRPr="006025EC" w:rsidRDefault="006025EC" w:rsidP="006025EC">
      <w:pPr>
        <w:rPr>
          <w:u w:val="single"/>
        </w:rPr>
      </w:pPr>
      <w:r w:rsidRPr="006025EC">
        <w:rPr>
          <w:u w:val="single"/>
        </w:rPr>
        <w:t>Data processing</w:t>
      </w:r>
    </w:p>
    <w:p w:rsidR="006025EC" w:rsidRDefault="006025EC" w:rsidP="006025EC">
      <w:r>
        <w:t xml:space="preserve">Positive and negative mode identifications at different NCE </w:t>
      </w:r>
      <w:proofErr w:type="gramStart"/>
      <w:r>
        <w:t>were aligned</w:t>
      </w:r>
      <w:proofErr w:type="gramEnd"/>
      <w:r>
        <w:t xml:space="preserve"> in LipidSearch, allowing calculation of unassigned peaks. The following settings were applied: Product Search; alignment method max; retention time tolerance 0.1 min; filters: </w:t>
      </w:r>
      <w:proofErr w:type="spellStart"/>
      <w:r>
        <w:t>Toprank</w:t>
      </w:r>
      <w:proofErr w:type="spellEnd"/>
      <w:r>
        <w:t xml:space="preserve">, All isomer peaks, </w:t>
      </w:r>
      <w:proofErr w:type="gramStart"/>
      <w:r>
        <w:t>m</w:t>
      </w:r>
      <w:proofErr w:type="gramEnd"/>
      <w:r>
        <w:t>-Score 2.</w:t>
      </w:r>
      <w:bookmarkStart w:id="0" w:name="_GoBack"/>
      <w:bookmarkEnd w:id="0"/>
    </w:p>
    <w:sectPr w:rsidR="006025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70B80"/>
    <w:multiLevelType w:val="hybridMultilevel"/>
    <w:tmpl w:val="BD3E6FC2"/>
    <w:lvl w:ilvl="0" w:tplc="FB2A19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AF8"/>
    <w:rsid w:val="00215760"/>
    <w:rsid w:val="00555D6E"/>
    <w:rsid w:val="006025EC"/>
    <w:rsid w:val="00655AF8"/>
    <w:rsid w:val="00A440DC"/>
    <w:rsid w:val="00B96591"/>
    <w:rsid w:val="00D16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6C4A6"/>
  <w15:chartTrackingRefBased/>
  <w15:docId w15:val="{1D133091-ECCA-4F69-9C57-9BBBA86E6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5A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1140</Words>
  <Characters>6502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MIAMI</Company>
  <LinksUpToDate>false</LinksUpToDate>
  <CharactersWithSpaces>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Ayupe Oliveira Beckedorff, Ana Carolina</dc:creator>
  <cp:keywords/>
  <dc:description/>
  <cp:lastModifiedBy>Trzeciecka, Anna Maria</cp:lastModifiedBy>
  <cp:revision>5</cp:revision>
  <dcterms:created xsi:type="dcterms:W3CDTF">2018-11-26T22:08:00Z</dcterms:created>
  <dcterms:modified xsi:type="dcterms:W3CDTF">2018-11-28T16:59:00Z</dcterms:modified>
</cp:coreProperties>
</file>