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3D812" w14:textId="1AF6C17B" w:rsidR="003F0975" w:rsidRPr="00903D6A" w:rsidRDefault="003F0975" w:rsidP="003F0975">
      <w:pPr>
        <w:spacing w:line="360" w:lineRule="auto"/>
        <w:jc w:val="both"/>
        <w:rPr>
          <w:rFonts w:ascii="Arial" w:hAnsi="Arial" w:cs="Arial"/>
          <w:b/>
          <w:sz w:val="24"/>
        </w:rPr>
      </w:pPr>
      <w:r w:rsidRPr="00903D6A">
        <w:rPr>
          <w:rFonts w:ascii="Arial" w:hAnsi="Arial" w:cs="Arial"/>
          <w:b/>
          <w:sz w:val="24"/>
        </w:rPr>
        <w:t xml:space="preserve">Detailed description of instrumental description, data pre-treatment and Quality Assurance for metabolomics analyses. </w:t>
      </w:r>
    </w:p>
    <w:p w14:paraId="1D5C0B49" w14:textId="77777777" w:rsidR="00316136" w:rsidRPr="00903D6A" w:rsidRDefault="00316136" w:rsidP="00316136">
      <w:pPr>
        <w:spacing w:line="360" w:lineRule="auto"/>
        <w:jc w:val="both"/>
        <w:rPr>
          <w:rFonts w:ascii="Arial" w:hAnsi="Arial" w:cs="Arial"/>
          <w:b/>
          <w:i/>
        </w:rPr>
      </w:pPr>
    </w:p>
    <w:p w14:paraId="6F29BF05" w14:textId="77777777" w:rsidR="00316136" w:rsidRPr="00903D6A" w:rsidRDefault="00316136" w:rsidP="00316136">
      <w:pPr>
        <w:spacing w:line="360" w:lineRule="auto"/>
        <w:jc w:val="both"/>
        <w:rPr>
          <w:rFonts w:ascii="Arial" w:hAnsi="Arial" w:cs="Arial"/>
        </w:rPr>
      </w:pPr>
      <w:r w:rsidRPr="00903D6A">
        <w:rPr>
          <w:rFonts w:ascii="Arial" w:hAnsi="Arial" w:cs="Arial"/>
          <w:b/>
          <w:i/>
        </w:rPr>
        <w:t>Metabolomics analysis</w:t>
      </w:r>
      <w:r w:rsidRPr="00903D6A">
        <w:rPr>
          <w:rFonts w:ascii="Arial" w:hAnsi="Arial" w:cs="Arial"/>
        </w:rPr>
        <w:t xml:space="preserve"> </w:t>
      </w:r>
    </w:p>
    <w:p w14:paraId="01FB7EC3" w14:textId="7BB178D1" w:rsidR="004E567F" w:rsidRDefault="00316136" w:rsidP="004E567F">
      <w:pPr>
        <w:spacing w:line="360" w:lineRule="auto"/>
        <w:jc w:val="both"/>
        <w:rPr>
          <w:rFonts w:ascii="Arial" w:hAnsi="Arial" w:cs="Arial"/>
          <w:b/>
          <w:i/>
        </w:rPr>
      </w:pPr>
      <w:r w:rsidRPr="00903D6A">
        <w:rPr>
          <w:rFonts w:ascii="Arial" w:hAnsi="Arial" w:cs="Arial"/>
        </w:rPr>
        <w:t>Samples were analyzed using three analytical platforms (LCMS positive and negative ionization modes, CE</w:t>
      </w:r>
      <w:r w:rsidR="002C0C73">
        <w:rPr>
          <w:rFonts w:ascii="Arial" w:hAnsi="Arial" w:cs="Arial"/>
        </w:rPr>
        <w:t>-</w:t>
      </w:r>
      <w:r w:rsidRPr="00903D6A">
        <w:rPr>
          <w:rFonts w:ascii="Arial" w:hAnsi="Arial" w:cs="Arial"/>
        </w:rPr>
        <w:t>MS positive and GC</w:t>
      </w:r>
      <w:r w:rsidR="002C0C73">
        <w:rPr>
          <w:rFonts w:ascii="Arial" w:hAnsi="Arial" w:cs="Arial"/>
        </w:rPr>
        <w:t>-</w:t>
      </w:r>
      <w:r w:rsidRPr="00903D6A">
        <w:rPr>
          <w:rFonts w:ascii="Arial" w:hAnsi="Arial" w:cs="Arial"/>
        </w:rPr>
        <w:t xml:space="preserve">MS), </w:t>
      </w:r>
      <w:proofErr w:type="gramStart"/>
      <w:r w:rsidRPr="00903D6A">
        <w:rPr>
          <w:rFonts w:ascii="Arial" w:hAnsi="Arial" w:cs="Arial"/>
        </w:rPr>
        <w:t>in order to</w:t>
      </w:r>
      <w:proofErr w:type="gramEnd"/>
      <w:r w:rsidRPr="00903D6A">
        <w:rPr>
          <w:rFonts w:ascii="Arial" w:hAnsi="Arial" w:cs="Arial"/>
        </w:rPr>
        <w:t xml:space="preserve"> maximize the metabolite coverage. Both matrices were analyzed in the same analytical sequence in two batches: first faeces and then serum, and in each one of them the samples were measured in a randomized order. </w:t>
      </w:r>
    </w:p>
    <w:p w14:paraId="25264526" w14:textId="0B4C1CDA" w:rsidR="00707816" w:rsidRPr="00903D6A" w:rsidRDefault="00707816" w:rsidP="00707816">
      <w:pPr>
        <w:spacing w:before="240" w:line="360" w:lineRule="auto"/>
        <w:jc w:val="both"/>
        <w:rPr>
          <w:rFonts w:ascii="Arial" w:hAnsi="Arial" w:cs="Arial"/>
          <w:b/>
          <w:i/>
        </w:rPr>
      </w:pPr>
      <w:r w:rsidRPr="00903D6A">
        <w:rPr>
          <w:rFonts w:ascii="Arial" w:hAnsi="Arial" w:cs="Arial"/>
          <w:b/>
          <w:i/>
        </w:rPr>
        <w:t>Liquid Chromatography coupled to Mass Spectrometry (LC-MS)</w:t>
      </w:r>
    </w:p>
    <w:p w14:paraId="7BB67BE8" w14:textId="1DEF1DFB" w:rsidR="00392723" w:rsidRPr="00903D6A" w:rsidRDefault="00707816" w:rsidP="004E567F">
      <w:pPr>
        <w:spacing w:line="360" w:lineRule="auto"/>
        <w:jc w:val="both"/>
        <w:rPr>
          <w:rFonts w:ascii="Arial" w:hAnsi="Arial" w:cs="Arial"/>
          <w:b/>
          <w:i/>
        </w:rPr>
      </w:pPr>
      <w:r w:rsidRPr="00903D6A">
        <w:rPr>
          <w:rFonts w:ascii="Arial" w:hAnsi="Arial" w:cs="Arial"/>
          <w:bCs/>
          <w:iCs/>
        </w:rPr>
        <w:t>L</w:t>
      </w:r>
      <w:r w:rsidR="00316136" w:rsidRPr="00903D6A">
        <w:rPr>
          <w:rFonts w:ascii="Arial" w:hAnsi="Arial" w:cs="Arial"/>
          <w:bCs/>
          <w:iCs/>
        </w:rPr>
        <w:t xml:space="preserve">C−MS analysis was performed on an Agilent HPLC system, equipped with a degasser, two binary pumps, and a thermostated autosampler (1290 infinity II series, Agilent Technologies, Waldbronn, Germany), coupled to a QTOF-MS series 6545 (Agilent Technologies). 0.5 μL of extracted sample were injected into a </w:t>
      </w:r>
      <w:r w:rsidR="00316136" w:rsidRPr="00903D6A">
        <w:rPr>
          <w:rFonts w:ascii="Arial" w:hAnsi="Arial" w:cs="Arial"/>
        </w:rPr>
        <w:t>reversed-phase column (Zorbax Extend C18 50 x 2.1 mm, 1.8 µm; Agilent)</w:t>
      </w:r>
      <w:r w:rsidR="00316136" w:rsidRPr="00903D6A">
        <w:rPr>
          <w:rFonts w:ascii="Arial" w:hAnsi="Arial" w:cs="Arial"/>
          <w:bCs/>
          <w:iCs/>
        </w:rPr>
        <w:t xml:space="preserve"> maintained at 60 °C. The flow rate was set at 0.6 mL/min. The elution gradient involved a mobile phase consisting of: (A) 0.1% formic acid (FA) in water and (B) 0.1% FA in acetonitrile (ACN). </w:t>
      </w:r>
      <w:r w:rsidR="00316136" w:rsidRPr="00903D6A">
        <w:rPr>
          <w:rFonts w:ascii="Arial" w:hAnsi="Arial" w:cs="Arial"/>
        </w:rPr>
        <w:t xml:space="preserve">The gradient was 5% B (0–1 min), 5 to 80% B (1–7 min), 80 to 100% B (7–11.5 min), and 100 to 5% B (11.5–12 min). The system was finally held at 5% B for 3 min to re-equilibrate the system (15 min of total analysis time). </w:t>
      </w:r>
      <w:r w:rsidR="00316136" w:rsidRPr="00903D6A">
        <w:rPr>
          <w:rFonts w:ascii="Arial" w:hAnsi="Arial" w:cs="Arial"/>
          <w:bCs/>
          <w:iCs/>
        </w:rPr>
        <w:t>The ESI data were acquired in both modes, ESI (+) and ESI (-), in separate runs. The capillary voltage was set at 3,000V for ESI (+) and 4,000V for ESI (−). The drying gas flow rate was 12 L/min at 250 °C and gas nebulizer at 52 psi; nozzle voltage was 1000V; fragmentor voltage was 175 V; skimmer and octopole radio frequency voltage (OCT RF Vpp) were set to 65</w:t>
      </w:r>
      <w:r w:rsidR="00EA7B05">
        <w:rPr>
          <w:rFonts w:ascii="Arial" w:hAnsi="Arial" w:cs="Arial"/>
          <w:bCs/>
          <w:iCs/>
        </w:rPr>
        <w:t xml:space="preserve"> V</w:t>
      </w:r>
      <w:r w:rsidR="00316136" w:rsidRPr="00903D6A">
        <w:rPr>
          <w:rFonts w:ascii="Arial" w:hAnsi="Arial" w:cs="Arial"/>
          <w:bCs/>
          <w:iCs/>
        </w:rPr>
        <w:t xml:space="preserve"> and 750 V, respectively. Data were collected in the centroid mode at a scan rate of 1.5 spectra per second. Mass spectrometry detection was performed in full scan from 50 to 1000 </w:t>
      </w:r>
      <w:r w:rsidR="00316136" w:rsidRPr="00903D6A">
        <w:rPr>
          <w:rFonts w:ascii="Arial" w:hAnsi="Arial" w:cs="Arial"/>
          <w:bCs/>
          <w:i/>
        </w:rPr>
        <w:t>m/z</w:t>
      </w:r>
      <w:r w:rsidR="00316136" w:rsidRPr="00903D6A">
        <w:rPr>
          <w:rFonts w:ascii="Arial" w:hAnsi="Arial" w:cs="Arial"/>
          <w:bCs/>
          <w:iCs/>
        </w:rPr>
        <w:t xml:space="preserve"> for both ESI modes. The reference </w:t>
      </w:r>
      <w:r w:rsidR="00316136" w:rsidRPr="00903D6A">
        <w:rPr>
          <w:rFonts w:ascii="Arial" w:hAnsi="Arial" w:cs="Arial"/>
          <w:bCs/>
          <w:i/>
        </w:rPr>
        <w:t>m/z</w:t>
      </w:r>
      <w:r w:rsidR="00316136" w:rsidRPr="00903D6A">
        <w:rPr>
          <w:rFonts w:ascii="Arial" w:hAnsi="Arial" w:cs="Arial"/>
          <w:bCs/>
          <w:iCs/>
        </w:rPr>
        <w:t xml:space="preserve"> ions were purine (121.0508) and HP-0921 (922.0097) for ESI (+) mode, and TFA NH</w:t>
      </w:r>
      <w:r w:rsidR="00316136" w:rsidRPr="00903D6A">
        <w:rPr>
          <w:rFonts w:ascii="Arial" w:hAnsi="Arial" w:cs="Arial"/>
          <w:bCs/>
          <w:iCs/>
          <w:vertAlign w:val="subscript"/>
        </w:rPr>
        <w:t>4</w:t>
      </w:r>
      <w:r w:rsidR="00316136" w:rsidRPr="00903D6A">
        <w:rPr>
          <w:rFonts w:ascii="Arial" w:hAnsi="Arial" w:cs="Arial"/>
          <w:bCs/>
          <w:iCs/>
          <w:vertAlign w:val="superscript"/>
        </w:rPr>
        <w:t>+</w:t>
      </w:r>
      <w:r w:rsidR="00316136" w:rsidRPr="00903D6A">
        <w:rPr>
          <w:rFonts w:ascii="Arial" w:hAnsi="Arial" w:cs="Arial"/>
          <w:bCs/>
          <w:iCs/>
        </w:rPr>
        <w:t xml:space="preserve"> (119.0363) and HP-0921 (966.0007) for ESI (−) mode. These masses were continuously infused into the system to allow constant mass correction. These conditions were adapted from previous work</w:t>
      </w:r>
      <w:r w:rsidR="008C3743" w:rsidRPr="00903D6A">
        <w:rPr>
          <w:rFonts w:ascii="Arial" w:hAnsi="Arial" w:cs="Arial"/>
          <w:bCs/>
          <w:iCs/>
          <w:noProof/>
        </w:rPr>
        <w:t xml:space="preserve">. </w:t>
      </w:r>
      <w:r w:rsidR="00316136" w:rsidRPr="00903D6A">
        <w:rPr>
          <w:rFonts w:ascii="Arial" w:hAnsi="Arial" w:cs="Arial"/>
        </w:rPr>
        <w:t>The analytical runs for both polarities were set up starting with the analysis ten QCs followed by the samples; a QC sample was injected in between blocks of three samples until the end of the run.</w:t>
      </w:r>
    </w:p>
    <w:p w14:paraId="57BADD13" w14:textId="2603D2B0" w:rsidR="00392723" w:rsidRPr="00903D6A" w:rsidRDefault="00392723" w:rsidP="00392723">
      <w:pPr>
        <w:spacing w:before="240" w:line="360" w:lineRule="auto"/>
        <w:jc w:val="both"/>
        <w:rPr>
          <w:rFonts w:ascii="Arial" w:hAnsi="Arial" w:cs="Arial"/>
          <w:b/>
          <w:i/>
        </w:rPr>
      </w:pPr>
      <w:r w:rsidRPr="00903D6A">
        <w:rPr>
          <w:rFonts w:ascii="Arial" w:hAnsi="Arial" w:cs="Arial"/>
          <w:b/>
          <w:i/>
        </w:rPr>
        <w:t>Liquid Chromatography coupled to Tandem Mass Spectrometry (LC-MS/MS)</w:t>
      </w:r>
    </w:p>
    <w:p w14:paraId="51904069" w14:textId="33CB97B9" w:rsidR="00392723" w:rsidRPr="004E567F" w:rsidRDefault="00392723" w:rsidP="004E567F">
      <w:pPr>
        <w:spacing w:line="360" w:lineRule="auto"/>
        <w:jc w:val="both"/>
        <w:rPr>
          <w:rFonts w:ascii="Arial" w:hAnsi="Arial" w:cs="Arial"/>
          <w:bCs/>
          <w:iCs/>
        </w:rPr>
      </w:pPr>
      <w:r w:rsidRPr="00903D6A">
        <w:rPr>
          <w:rFonts w:ascii="Arial" w:hAnsi="Arial" w:cs="Arial"/>
          <w:b/>
          <w:i/>
        </w:rPr>
        <w:lastRenderedPageBreak/>
        <w:t>LC-</w:t>
      </w:r>
      <w:r w:rsidR="00316136" w:rsidRPr="00903D6A">
        <w:rPr>
          <w:rFonts w:ascii="Arial" w:hAnsi="Arial" w:cs="Arial"/>
          <w:b/>
          <w:i/>
        </w:rPr>
        <w:t>MS/MS.</w:t>
      </w:r>
      <w:r w:rsidR="00316136" w:rsidRPr="00903D6A">
        <w:rPr>
          <w:rFonts w:ascii="Arial" w:hAnsi="Arial" w:cs="Arial"/>
        </w:rPr>
        <w:t xml:space="preserve"> </w:t>
      </w:r>
      <w:r w:rsidR="00316136" w:rsidRPr="00903D6A">
        <w:rPr>
          <w:rFonts w:ascii="Arial" w:hAnsi="Arial" w:cs="Arial"/>
          <w:bCs/>
          <w:iCs/>
        </w:rPr>
        <w:t xml:space="preserve">ID was confirmed through LC-MS/MS experiments by using the same equipment as before. Experiments were repeated in same identical analytical conditions as the primary analyses. Ions were targeted using the narrow </w:t>
      </w:r>
      <w:r w:rsidR="00316136" w:rsidRPr="00903D6A">
        <w:rPr>
          <w:rFonts w:ascii="Arial" w:hAnsi="Arial" w:cs="Arial"/>
          <w:bCs/>
          <w:i/>
        </w:rPr>
        <w:t>m/z</w:t>
      </w:r>
      <w:r w:rsidR="00316136" w:rsidRPr="00903D6A">
        <w:rPr>
          <w:rFonts w:ascii="Arial" w:hAnsi="Arial" w:cs="Arial"/>
          <w:bCs/>
          <w:iCs/>
        </w:rPr>
        <w:t xml:space="preserve"> window (1.3 Da) and 10, 20 and 40 V of energy for fragmentation on the quadrupole at the </w:t>
      </w:r>
      <w:r w:rsidR="00316136" w:rsidRPr="00903D6A">
        <w:rPr>
          <w:rFonts w:ascii="Arial" w:hAnsi="Arial" w:cs="Arial"/>
          <w:iCs/>
        </w:rPr>
        <w:t xml:space="preserve">retention time (RT) </w:t>
      </w:r>
      <w:r w:rsidR="00316136" w:rsidRPr="00903D6A">
        <w:rPr>
          <w:rFonts w:ascii="Arial" w:hAnsi="Arial" w:cs="Arial"/>
          <w:bCs/>
          <w:iCs/>
        </w:rPr>
        <w:t xml:space="preserve">previously determined. </w:t>
      </w:r>
      <w:r w:rsidR="00316136" w:rsidRPr="00903D6A" w:rsidDel="00A81A70">
        <w:rPr>
          <w:rFonts w:ascii="Arial" w:hAnsi="Arial" w:cs="Arial"/>
          <w:bCs/>
          <w:iCs/>
        </w:rPr>
        <w:t xml:space="preserve"> </w:t>
      </w:r>
    </w:p>
    <w:p w14:paraId="241C9530" w14:textId="79836139" w:rsidR="00392723" w:rsidRPr="00903D6A" w:rsidRDefault="00392723" w:rsidP="00392723">
      <w:pPr>
        <w:spacing w:before="240" w:line="360" w:lineRule="auto"/>
        <w:jc w:val="both"/>
        <w:rPr>
          <w:rFonts w:ascii="Arial" w:hAnsi="Arial" w:cs="Arial"/>
          <w:b/>
          <w:i/>
        </w:rPr>
      </w:pPr>
      <w:r w:rsidRPr="00903D6A">
        <w:rPr>
          <w:rFonts w:ascii="Arial" w:hAnsi="Arial" w:cs="Arial"/>
          <w:b/>
          <w:i/>
        </w:rPr>
        <w:t>Capillary Electrophoresis coupled to Mass Spectrometry (CE-MS)</w:t>
      </w:r>
    </w:p>
    <w:p w14:paraId="7B0C3606" w14:textId="45E8FB7F" w:rsidR="00316136" w:rsidRPr="00903D6A" w:rsidRDefault="00316136" w:rsidP="00316136">
      <w:pPr>
        <w:spacing w:line="360" w:lineRule="auto"/>
        <w:jc w:val="both"/>
        <w:rPr>
          <w:rFonts w:ascii="Arial" w:hAnsi="Arial" w:cs="Arial"/>
        </w:rPr>
      </w:pPr>
      <w:r w:rsidRPr="00903D6A">
        <w:rPr>
          <w:rFonts w:ascii="Arial" w:hAnsi="Arial" w:cs="Arial"/>
          <w:b/>
          <w:i/>
        </w:rPr>
        <w:t>CE-MS</w:t>
      </w:r>
      <w:r w:rsidRPr="00903D6A">
        <w:rPr>
          <w:rFonts w:ascii="Arial" w:hAnsi="Arial" w:cs="Arial"/>
        </w:rPr>
        <w:t xml:space="preserve">. A CE system (7100 Agilent) coupled to a TOF analyzer (6224 Agilent) was used. Mass Hunter Workstation software (version B.06.01) controlled the CE-MS system. The separation occurred in a fused-silica capillary (Agilent: total length, 100 cm; i.d., 50 μm). All separations were performed in normal polarity with a background electrolyte containing 1.0 M formic acid in 10% MeOH (v/v) at 20°C. New capillaries were preconditioned with a flush of 1.0 M NaOH for 30 min, followed by MilliQ water for 30 min and the background electrolyte for 30 min. Before each analysis, the capillary was conditioned with a flush of background electrolyte for 5 min. The sheath liquid (10 μL/min) was </w:t>
      </w:r>
      <w:proofErr w:type="gramStart"/>
      <w:r w:rsidRPr="00903D6A">
        <w:rPr>
          <w:rFonts w:ascii="Arial" w:hAnsi="Arial" w:cs="Arial"/>
        </w:rPr>
        <w:t>MeOH:H</w:t>
      </w:r>
      <w:r w:rsidRPr="00903D6A">
        <w:rPr>
          <w:rFonts w:ascii="Arial" w:hAnsi="Arial" w:cs="Arial"/>
          <w:vertAlign w:val="subscript"/>
        </w:rPr>
        <w:t>2</w:t>
      </w:r>
      <w:r w:rsidRPr="00903D6A">
        <w:rPr>
          <w:rFonts w:ascii="Arial" w:hAnsi="Arial" w:cs="Arial"/>
        </w:rPr>
        <w:t>O</w:t>
      </w:r>
      <w:proofErr w:type="gramEnd"/>
      <w:r w:rsidRPr="00903D6A">
        <w:rPr>
          <w:rFonts w:ascii="Arial" w:hAnsi="Arial" w:cs="Arial"/>
        </w:rPr>
        <w:t xml:space="preserve"> (1:1) containing 1.0 mM FA with two reference masses 121.0509 (purine), and 922.0098 (HP), which allowed for correction and higher mass accuracy in the MS. The sheath liquid was infused by an ISO Pump (1200 Agilent). The samples were hydrodynamically injected at 50 mBar for 50 s. The stacking was performed by applying the background electrolyte at 100 mBar for 20 s. The separation voltage was 30 kV, the internal pressure was 25 </w:t>
      </w:r>
      <w:proofErr w:type="gramStart"/>
      <w:r w:rsidRPr="00903D6A">
        <w:rPr>
          <w:rFonts w:ascii="Arial" w:hAnsi="Arial" w:cs="Arial"/>
        </w:rPr>
        <w:t>mBar</w:t>
      </w:r>
      <w:proofErr w:type="gramEnd"/>
      <w:r w:rsidRPr="00903D6A">
        <w:rPr>
          <w:rFonts w:ascii="Arial" w:hAnsi="Arial" w:cs="Arial"/>
        </w:rPr>
        <w:t xml:space="preserve"> and the analyses were performed in 40 min. The MS parameters were as follows: fragmentor 125 V, skimmer 65 V, octopole 750 V,</w:t>
      </w:r>
      <w:r w:rsidRPr="00903D6A">
        <w:rPr>
          <w:rFonts w:ascii="Arial" w:hAnsi="Arial" w:cs="Arial"/>
          <w:color w:val="385623" w:themeColor="accent6" w:themeShade="80"/>
        </w:rPr>
        <w:t xml:space="preserve"> </w:t>
      </w:r>
      <w:r w:rsidRPr="00903D6A">
        <w:rPr>
          <w:rFonts w:ascii="Arial" w:hAnsi="Arial" w:cs="Arial"/>
        </w:rPr>
        <w:t xml:space="preserve">nebulizer pressure 4 psi, drying gas temperature 250°C, flow rate 10 L/min and capillary voltage 4000 V. The data were acquired in positive mode with a full scan from </w:t>
      </w:r>
      <w:r w:rsidRPr="00903D6A">
        <w:rPr>
          <w:rFonts w:ascii="Arial" w:hAnsi="Arial" w:cs="Arial"/>
          <w:i/>
        </w:rPr>
        <w:t>m/z</w:t>
      </w:r>
      <w:r w:rsidRPr="00903D6A">
        <w:rPr>
          <w:rFonts w:ascii="Arial" w:hAnsi="Arial" w:cs="Arial"/>
        </w:rPr>
        <w:t xml:space="preserve"> 74 to 1000 at a rate of 1.00 scan per second. This method was adapted from previous publications</w:t>
      </w:r>
      <w:r w:rsidR="000A638F" w:rsidRPr="00903D6A">
        <w:rPr>
          <w:rFonts w:ascii="Arial" w:hAnsi="Arial" w:cs="Arial"/>
        </w:rPr>
        <w:t>.</w:t>
      </w:r>
      <w:r w:rsidRPr="00903D6A">
        <w:rPr>
          <w:rFonts w:ascii="Arial" w:hAnsi="Arial" w:cs="Arial"/>
        </w:rPr>
        <w:t xml:space="preserve"> The analytical run was set up starting with the analysis of five QCs followed by the samples; a QC sample was injected in between blocks of three samples until the end of the run. </w:t>
      </w:r>
    </w:p>
    <w:p w14:paraId="0F3AE40E" w14:textId="2E3E7FC3" w:rsidR="007B00FE" w:rsidRPr="00903D6A" w:rsidRDefault="007B00FE" w:rsidP="007B00FE">
      <w:pPr>
        <w:spacing w:before="240" w:line="360" w:lineRule="auto"/>
        <w:jc w:val="both"/>
        <w:rPr>
          <w:rFonts w:ascii="Arial" w:hAnsi="Arial" w:cs="Arial"/>
          <w:b/>
          <w:i/>
        </w:rPr>
      </w:pPr>
      <w:r w:rsidRPr="00903D6A">
        <w:rPr>
          <w:rFonts w:ascii="Arial" w:hAnsi="Arial" w:cs="Arial"/>
          <w:b/>
          <w:i/>
        </w:rPr>
        <w:t>Gas Chromatography coupled to Mass Spectrometry (GC-MS)</w:t>
      </w:r>
    </w:p>
    <w:p w14:paraId="1E817493" w14:textId="49B4767C" w:rsidR="00316136" w:rsidRPr="00903D6A" w:rsidRDefault="00316136" w:rsidP="00316136">
      <w:pPr>
        <w:spacing w:line="360" w:lineRule="auto"/>
        <w:jc w:val="both"/>
        <w:rPr>
          <w:rFonts w:ascii="Arial" w:hAnsi="Arial" w:cs="Arial"/>
          <w:iCs/>
        </w:rPr>
      </w:pPr>
      <w:r w:rsidRPr="00903D6A">
        <w:rPr>
          <w:rFonts w:ascii="Arial" w:hAnsi="Arial" w:cs="Arial"/>
          <w:b/>
          <w:bCs/>
          <w:i/>
          <w:iCs/>
        </w:rPr>
        <w:t xml:space="preserve">GC-MS. </w:t>
      </w:r>
      <w:r w:rsidRPr="00903D6A">
        <w:rPr>
          <w:rFonts w:ascii="Arial" w:hAnsi="Arial" w:cs="Arial"/>
          <w:iCs/>
        </w:rPr>
        <w:t>Samples were measured in a GC system (Agilent Technologies 7890A) equipped with an autosampler (Agilent 7693) and coupled to a MS with an inert MSD quadrupole detector (Mass Selective Detector, Agilent 5975C). The specific parameters for the analysis are found in previously published literature</w:t>
      </w:r>
      <w:sdt>
        <w:sdtPr>
          <w:rPr>
            <w:rFonts w:ascii="Arial" w:hAnsi="Arial" w:cs="Arial"/>
            <w:iCs/>
            <w:color w:val="000000"/>
            <w:vertAlign w:val="superscript"/>
          </w:rPr>
          <w:tag w:val="MENDELEY_CITATION_v3_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"/>
          <w:id w:val="1802033165"/>
          <w:placeholder>
            <w:docPart w:val="DefaultPlaceholder_-1854013440"/>
          </w:placeholder>
        </w:sdtPr>
        <w:sdtEndPr/>
        <w:sdtContent>
          <w:r w:rsidR="00A81332" w:rsidRPr="00A81332">
            <w:rPr>
              <w:rFonts w:ascii="Arial" w:hAnsi="Arial" w:cs="Arial"/>
              <w:iCs/>
              <w:color w:val="000000"/>
              <w:vertAlign w:val="superscript"/>
            </w:rPr>
            <w:t>1</w:t>
          </w:r>
        </w:sdtContent>
      </w:sdt>
      <w:r w:rsidRPr="00903D6A">
        <w:rPr>
          <w:rStyle w:val="Refdecomentario"/>
          <w:rFonts w:ascii="Arial" w:hAnsi="Arial" w:cs="Arial"/>
        </w:rPr>
        <w:t xml:space="preserve"> </w:t>
      </w:r>
      <w:r w:rsidR="00467BDF" w:rsidRPr="00903D6A">
        <w:rPr>
          <w:rFonts w:ascii="Arial" w:hAnsi="Arial" w:cs="Arial"/>
          <w:iCs/>
        </w:rPr>
        <w:t xml:space="preserve">. </w:t>
      </w:r>
      <w:r w:rsidRPr="00903D6A">
        <w:rPr>
          <w:rFonts w:ascii="Arial" w:hAnsi="Arial" w:cs="Arial"/>
          <w:iCs/>
        </w:rPr>
        <w:t xml:space="preserve">Two microliters (2 μL) of the derivatized sample were injected through a DB5-MS GC-Column (30 m length, 0.25 mm i.d., 0.25 μm film 95% dimethyl/5% diphenylpolysiloxane) with an integrated precolumn (10 m J&amp;W, Agilent). Carrier gas (Helium) flow rate was set at 1 mL/min and </w:t>
      </w:r>
      <w:r w:rsidRPr="00903D6A">
        <w:rPr>
          <w:rFonts w:ascii="Arial" w:hAnsi="Arial" w:cs="Arial"/>
          <w:iCs/>
        </w:rPr>
        <w:lastRenderedPageBreak/>
        <w:t xml:space="preserve">injector temperature at 250 °C. Split ratio was fixed from 1:5 to 1:10 with 3 to 10 mL/min Helium split flow into a Restek 20782 (Bellefonte, PA, USA) deactivated glass-wool split liner. The temperature gradient was programmed as follows: the initial oven temperature was set at 60 °C (held for 1 min), increased to 325 °C at 10 °C/min rate (within 26.5 min) and was held at 325 °C for 10 min. The total run time was 37.5 min. A cool-down period of 10 min was applied before the next injection. Detector transfer line, filament source and quadrupole temperature were set at 280 °C, 230 °C and 150 °C, respectively. MS ionization was performed with EI at -70 eV. The mass spectrometer detection was operated in scan mode over a mass range of </w:t>
      </w:r>
      <w:r w:rsidRPr="00903D6A">
        <w:rPr>
          <w:rFonts w:ascii="Arial" w:hAnsi="Arial" w:cs="Arial"/>
          <w:i/>
          <w:iCs/>
        </w:rPr>
        <w:t>m/z</w:t>
      </w:r>
      <w:r w:rsidRPr="00903D6A">
        <w:rPr>
          <w:rFonts w:ascii="Arial" w:hAnsi="Arial" w:cs="Arial"/>
          <w:iCs/>
        </w:rPr>
        <w:t xml:space="preserve"> 50-600. </w:t>
      </w:r>
      <w:r w:rsidRPr="00903D6A">
        <w:rPr>
          <w:rFonts w:ascii="Arial" w:hAnsi="Arial" w:cs="Arial"/>
        </w:rPr>
        <w:t xml:space="preserve">The analytical run was set up starting with </w:t>
      </w:r>
      <w:r w:rsidRPr="00903D6A">
        <w:rPr>
          <w:rFonts w:ascii="Arial" w:hAnsi="Arial" w:cs="Arial"/>
          <w:iCs/>
        </w:rPr>
        <w:t xml:space="preserve">several IS injections, followed by an injection of a mix of fatty acid methyl-esters (FAME C8-C30) which is used later to perform RT correction for the FiehnLib library search. </w:t>
      </w:r>
      <w:r w:rsidRPr="00903D6A">
        <w:rPr>
          <w:rFonts w:ascii="Arial" w:hAnsi="Arial" w:cs="Arial"/>
        </w:rPr>
        <w:t>Afterwards, four QCs were injected, followed by four blanks and the samples; a QC sample was injected in between blocks of three samples until the end of the run.</w:t>
      </w:r>
    </w:p>
    <w:p w14:paraId="6761F08F" w14:textId="77777777" w:rsidR="00316136" w:rsidRPr="00903D6A" w:rsidRDefault="00316136" w:rsidP="00316136">
      <w:pPr>
        <w:autoSpaceDE w:val="0"/>
        <w:autoSpaceDN w:val="0"/>
        <w:adjustRightInd w:val="0"/>
        <w:spacing w:line="360" w:lineRule="auto"/>
        <w:rPr>
          <w:rFonts w:ascii="Arial" w:hAnsi="Arial" w:cs="Arial"/>
        </w:rPr>
      </w:pPr>
    </w:p>
    <w:p w14:paraId="335690E4" w14:textId="77777777" w:rsidR="00316136" w:rsidRPr="00903D6A" w:rsidRDefault="00316136" w:rsidP="00316136">
      <w:pPr>
        <w:spacing w:line="360" w:lineRule="auto"/>
        <w:jc w:val="both"/>
        <w:rPr>
          <w:rFonts w:ascii="Arial" w:hAnsi="Arial" w:cs="Arial"/>
          <w:b/>
          <w:i/>
        </w:rPr>
      </w:pPr>
      <w:r w:rsidRPr="00903D6A">
        <w:rPr>
          <w:rFonts w:ascii="Arial" w:hAnsi="Arial" w:cs="Arial"/>
          <w:b/>
          <w:i/>
        </w:rPr>
        <w:t xml:space="preserve">Data treatment and metabolite annotation </w:t>
      </w:r>
    </w:p>
    <w:p w14:paraId="1B0146BC" w14:textId="5C000997" w:rsidR="00316136" w:rsidRPr="00903D6A" w:rsidRDefault="00316136" w:rsidP="00316136">
      <w:pPr>
        <w:spacing w:before="240" w:line="360" w:lineRule="auto"/>
        <w:jc w:val="both"/>
        <w:rPr>
          <w:rFonts w:ascii="Arial" w:hAnsi="Arial" w:cs="Arial"/>
          <w:iCs/>
        </w:rPr>
      </w:pPr>
      <w:r w:rsidRPr="00903D6A">
        <w:rPr>
          <w:rFonts w:ascii="Arial" w:hAnsi="Arial" w:cs="Arial"/>
          <w:b/>
          <w:i/>
        </w:rPr>
        <w:t>LC-</w:t>
      </w:r>
      <w:r w:rsidR="007B00FE" w:rsidRPr="00903D6A">
        <w:rPr>
          <w:rFonts w:ascii="Arial" w:hAnsi="Arial" w:cs="Arial"/>
          <w:b/>
          <w:i/>
        </w:rPr>
        <w:t xml:space="preserve"> </w:t>
      </w:r>
      <w:r w:rsidRPr="00903D6A">
        <w:rPr>
          <w:rFonts w:ascii="Arial" w:hAnsi="Arial" w:cs="Arial"/>
          <w:b/>
          <w:i/>
        </w:rPr>
        <w:t>MS</w:t>
      </w:r>
      <w:r w:rsidRPr="00903D6A">
        <w:rPr>
          <w:rFonts w:ascii="Arial" w:hAnsi="Arial" w:cs="Arial"/>
          <w:b/>
          <w:bCs/>
          <w:i/>
          <w:iCs/>
        </w:rPr>
        <w:t>.</w:t>
      </w:r>
      <w:r w:rsidRPr="00903D6A">
        <w:rPr>
          <w:rFonts w:ascii="Arial" w:hAnsi="Arial" w:cs="Arial"/>
        </w:rPr>
        <w:t xml:space="preserve"> </w:t>
      </w:r>
      <w:r w:rsidRPr="00903D6A">
        <w:rPr>
          <w:rFonts w:ascii="Arial" w:hAnsi="Arial" w:cs="Arial"/>
          <w:iCs/>
        </w:rPr>
        <w:t>Acquired data were processed to provide structured raw data in an appropriate format for data analysis. Collected data were cleaned of background noises and unrelated ions using MassHunter Profinder (B.08.00, Agilent Technologies) software. Molecular Feature Extraction (MFE) algorithm was used to reduce the size and complexity of data. Furthermore, after MFE, Recursive Feature Extraction (RFE) algorithm was applied to improve the reliability in finding the features in the data. Once the raw data was obtained, a Quality Assurance procedure (QA) adapted from Godzien et al. was applied</w:t>
      </w:r>
      <w:r w:rsidR="000A638F" w:rsidRPr="00903D6A">
        <w:rPr>
          <w:rFonts w:ascii="Arial" w:hAnsi="Arial" w:cs="Arial"/>
          <w:iCs/>
          <w:noProof/>
        </w:rPr>
        <w:t xml:space="preserve">. </w:t>
      </w:r>
      <w:r w:rsidRPr="00903D6A">
        <w:rPr>
          <w:rFonts w:ascii="Arial" w:hAnsi="Arial" w:cs="Arial"/>
          <w:iCs/>
        </w:rPr>
        <w:t xml:space="preserve">Thus, data were filtered keeping those features detected in &gt;70% of QCs and with a Relative Standard Deviation (RSD) &lt;30%. In addition, to </w:t>
      </w:r>
      <w:proofErr w:type="gramStart"/>
      <w:r w:rsidRPr="00903D6A">
        <w:rPr>
          <w:rFonts w:ascii="Arial" w:hAnsi="Arial" w:cs="Arial"/>
          <w:iCs/>
        </w:rPr>
        <w:t>take into account</w:t>
      </w:r>
      <w:proofErr w:type="gramEnd"/>
      <w:r w:rsidRPr="00903D6A">
        <w:rPr>
          <w:rFonts w:ascii="Arial" w:hAnsi="Arial" w:cs="Arial"/>
          <w:iCs/>
        </w:rPr>
        <w:t xml:space="preserve"> those compounds that might be present only in one experimental group, those with </w:t>
      </w:r>
      <w:r w:rsidRPr="00903D6A">
        <w:rPr>
          <w:rFonts w:ascii="Arial" w:hAnsi="Arial" w:cs="Arial"/>
          <w:iCs/>
          <w:lang w:val="en-GB"/>
        </w:rPr>
        <w:t>&lt;20% presence in QCs and &gt;50% presence in at least one experimental group were kept.</w:t>
      </w:r>
    </w:p>
    <w:p w14:paraId="1B034DDA" w14:textId="780A3B47" w:rsidR="00316136" w:rsidRPr="00903D6A" w:rsidRDefault="00316136" w:rsidP="00316136">
      <w:pPr>
        <w:spacing w:before="240" w:line="360" w:lineRule="auto"/>
        <w:jc w:val="both"/>
        <w:rPr>
          <w:rFonts w:ascii="Arial" w:hAnsi="Arial" w:cs="Arial"/>
          <w:bCs/>
          <w:iCs/>
        </w:rPr>
      </w:pPr>
      <w:r w:rsidRPr="00903D6A">
        <w:rPr>
          <w:rFonts w:ascii="Arial" w:hAnsi="Arial" w:cs="Arial"/>
          <w:iCs/>
        </w:rPr>
        <w:t>Tentative annotation was carried out for statistically significant features by searching the accurate masses against the online available databases such as KEGG, METLIN, LipidMaps and HMDB using an online advanced software called CEU Mass Mediator (</w:t>
      </w:r>
      <w:hyperlink r:id="rId9" w:history="1">
        <w:r w:rsidRPr="00903D6A">
          <w:rPr>
            <w:rStyle w:val="Hipervnculo"/>
            <w:rFonts w:ascii="Arial" w:hAnsi="Arial" w:cs="Arial"/>
            <w:iCs/>
          </w:rPr>
          <w:t>http://ceumass.eps.uspceu.es/</w:t>
        </w:r>
      </w:hyperlink>
      <w:r w:rsidRPr="00903D6A">
        <w:rPr>
          <w:rFonts w:ascii="Arial" w:hAnsi="Arial" w:cs="Arial"/>
          <w:iCs/>
        </w:rPr>
        <w:t>)</w:t>
      </w:r>
      <w:r w:rsidR="00467BDF" w:rsidRPr="00903D6A">
        <w:rPr>
          <w:rFonts w:ascii="Arial" w:hAnsi="Arial" w:cs="Arial"/>
          <w:iCs/>
        </w:rPr>
        <w:t xml:space="preserve">. </w:t>
      </w:r>
      <w:r w:rsidRPr="00903D6A">
        <w:rPr>
          <w:rFonts w:ascii="Arial" w:hAnsi="Arial" w:cs="Arial"/>
          <w:iCs/>
        </w:rPr>
        <w:t xml:space="preserve">The annotation was done </w:t>
      </w:r>
      <w:proofErr w:type="gramStart"/>
      <w:r w:rsidRPr="00903D6A">
        <w:rPr>
          <w:rFonts w:ascii="Arial" w:hAnsi="Arial" w:cs="Arial"/>
          <w:iCs/>
        </w:rPr>
        <w:t>taking into account</w:t>
      </w:r>
      <w:proofErr w:type="gramEnd"/>
      <w:r w:rsidRPr="00903D6A">
        <w:rPr>
          <w:rFonts w:ascii="Arial" w:hAnsi="Arial" w:cs="Arial"/>
          <w:iCs/>
        </w:rPr>
        <w:t xml:space="preserve"> the RT, the isotopic pattern and possible adducts. Once the tentative annotation was performed, the identity of those compounds with relevant annotations was confirmed with LC-MS/MS </w:t>
      </w:r>
      <w:r w:rsidRPr="00903D6A">
        <w:rPr>
          <w:rFonts w:ascii="Arial" w:hAnsi="Arial" w:cs="Arial"/>
          <w:iCs/>
        </w:rPr>
        <w:lastRenderedPageBreak/>
        <w:t xml:space="preserve">experiments. The resulting fragmentation spectra were compared </w:t>
      </w:r>
      <w:r w:rsidRPr="00903D6A">
        <w:rPr>
          <w:rFonts w:ascii="Arial" w:hAnsi="Arial" w:cs="Arial"/>
          <w:bCs/>
          <w:iCs/>
        </w:rPr>
        <w:t>with the METLIN database (</w:t>
      </w:r>
      <w:hyperlink r:id="rId10" w:history="1">
        <w:r w:rsidRPr="00903D6A">
          <w:rPr>
            <w:rStyle w:val="Hipervnculo"/>
            <w:rFonts w:ascii="Arial" w:hAnsi="Arial" w:cs="Arial"/>
          </w:rPr>
          <w:t>https://metlin.scripps.edu/</w:t>
        </w:r>
      </w:hyperlink>
      <w:r w:rsidRPr="00903D6A">
        <w:rPr>
          <w:rFonts w:ascii="Arial" w:hAnsi="Arial" w:cs="Arial"/>
        </w:rPr>
        <w:t>)</w:t>
      </w:r>
      <w:r w:rsidRPr="00903D6A">
        <w:rPr>
          <w:rFonts w:ascii="Arial" w:hAnsi="Arial" w:cs="Arial"/>
          <w:bCs/>
          <w:iCs/>
        </w:rPr>
        <w:t xml:space="preserve">, and those who matched closely were confirmed. </w:t>
      </w:r>
    </w:p>
    <w:p w14:paraId="68CE5678" w14:textId="53B36AED" w:rsidR="00316136" w:rsidRPr="00903D6A" w:rsidRDefault="00316136" w:rsidP="00316136">
      <w:pPr>
        <w:spacing w:line="360" w:lineRule="auto"/>
        <w:jc w:val="both"/>
        <w:rPr>
          <w:rFonts w:ascii="Arial" w:hAnsi="Arial" w:cs="Arial"/>
          <w:iCs/>
        </w:rPr>
      </w:pPr>
      <w:r w:rsidRPr="00903D6A">
        <w:rPr>
          <w:rFonts w:ascii="Arial" w:hAnsi="Arial" w:cs="Arial"/>
          <w:b/>
          <w:i/>
        </w:rPr>
        <w:t>CE-</w:t>
      </w:r>
      <w:r w:rsidR="007B00FE" w:rsidRPr="00903D6A">
        <w:rPr>
          <w:rFonts w:ascii="Arial" w:hAnsi="Arial" w:cs="Arial"/>
          <w:b/>
          <w:i/>
        </w:rPr>
        <w:t xml:space="preserve"> </w:t>
      </w:r>
      <w:r w:rsidRPr="00903D6A">
        <w:rPr>
          <w:rFonts w:ascii="Arial" w:hAnsi="Arial" w:cs="Arial"/>
          <w:b/>
          <w:i/>
        </w:rPr>
        <w:t>MS</w:t>
      </w:r>
      <w:r w:rsidRPr="00903D6A">
        <w:rPr>
          <w:rFonts w:ascii="Arial" w:hAnsi="Arial" w:cs="Arial"/>
          <w:b/>
          <w:bCs/>
          <w:i/>
          <w:iCs/>
        </w:rPr>
        <w:t xml:space="preserve">. </w:t>
      </w:r>
      <w:r w:rsidRPr="00903D6A">
        <w:rPr>
          <w:rFonts w:ascii="Arial" w:hAnsi="Arial" w:cs="Arial"/>
          <w:iCs/>
        </w:rPr>
        <w:t>Acquired data were processed in the same way as for LC-MS using MassHunter Profinder. After careful visual inspection of data quality, the same QA filters as in LC-MS were applied, but since all compounds had 100% presence in QCs, only those with RSD &gt;30% were discarded. Compound annotation was performed using an in-house library of standards.</w:t>
      </w:r>
    </w:p>
    <w:p w14:paraId="4ED8353A" w14:textId="6D57845B" w:rsidR="00316136" w:rsidRPr="00903D6A" w:rsidRDefault="00316136" w:rsidP="00316136">
      <w:pPr>
        <w:spacing w:before="240" w:line="360" w:lineRule="auto"/>
        <w:jc w:val="both"/>
        <w:rPr>
          <w:rFonts w:ascii="Arial" w:hAnsi="Arial" w:cs="Arial"/>
          <w:iCs/>
        </w:rPr>
      </w:pPr>
      <w:r w:rsidRPr="00903D6A">
        <w:rPr>
          <w:rFonts w:ascii="Arial" w:hAnsi="Arial" w:cs="Arial"/>
          <w:b/>
          <w:bCs/>
          <w:i/>
          <w:iCs/>
        </w:rPr>
        <w:t>GC-</w:t>
      </w:r>
      <w:r w:rsidR="007B00FE" w:rsidRPr="00903D6A">
        <w:rPr>
          <w:rFonts w:ascii="Arial" w:hAnsi="Arial" w:cs="Arial"/>
          <w:b/>
          <w:bCs/>
          <w:i/>
          <w:iCs/>
        </w:rPr>
        <w:t xml:space="preserve"> </w:t>
      </w:r>
      <w:r w:rsidRPr="00903D6A">
        <w:rPr>
          <w:rFonts w:ascii="Arial" w:hAnsi="Arial" w:cs="Arial"/>
          <w:b/>
          <w:bCs/>
          <w:i/>
          <w:iCs/>
        </w:rPr>
        <w:t>MS.</w:t>
      </w:r>
      <w:r w:rsidRPr="00903D6A">
        <w:rPr>
          <w:rFonts w:ascii="Arial" w:hAnsi="Arial" w:cs="Arial"/>
          <w:iCs/>
        </w:rPr>
        <w:t xml:space="preserve"> The overall analytical performance was carefully examined by inspection of total ion chromatograms (TIC) of experimental samples, QC samples, blanks and internal standard using MassHunter Qualitative software (B.08.00, Agilent). Afterwards, automatic mass spectral deconvolution was employed to identify co-eluted compounds according to their retention indexes (RI) and RTs using the Unknowns Analysis software (B.08.00, Agilent). To achieve this, RTs derived from the analysis of FAME C8-C30 standard solution were used to create a calibration data file for further adjustment of RTs in samples. The improvement in accuracy was based on the determination of the Kovats RI. The RI value contained in Fiehn RTL (Retention Time Locked) library was compared to the experimental RI value to assign a match score between the experimental and the theoretical spectra. Missing compounds were identified by comparing their mass fragmentation patterns with NIST v.14 library (G1676AA, Agilent) using MassHunter Qualitative software. Integration of the targets and alignment of the drift were performed on MassHunter Quantitative (B.08.00, Agilent). Raw data filtering was performed by removing those features detected in &lt;50% of all QC samples. Data matrix was normalized by the IS to correct analytical variability of the equipment. </w:t>
      </w:r>
    </w:p>
    <w:p w14:paraId="577EC0AB" w14:textId="6A788868" w:rsidR="00316136" w:rsidRPr="00903D6A" w:rsidRDefault="00316136" w:rsidP="00316136">
      <w:pPr>
        <w:spacing w:before="240" w:line="360" w:lineRule="auto"/>
        <w:jc w:val="both"/>
        <w:rPr>
          <w:rFonts w:ascii="Arial" w:hAnsi="Arial" w:cs="Arial"/>
          <w:iCs/>
        </w:rPr>
      </w:pPr>
      <w:r w:rsidRPr="00903D6A">
        <w:rPr>
          <w:rFonts w:ascii="Arial" w:hAnsi="Arial" w:cs="Arial"/>
          <w:iCs/>
        </w:rPr>
        <w:t>The mean abundance of each metabolite in the blank samples was calculated and subtracted from the abundance in the rest of the samples. As a last step, data was normalized using the QC-SVRC algorithm</w:t>
      </w:r>
      <w:r w:rsidR="006D0DF1" w:rsidRPr="00903D6A">
        <w:rPr>
          <w:rFonts w:ascii="Arial" w:hAnsi="Arial" w:cs="Arial"/>
          <w:iCs/>
        </w:rPr>
        <w:t xml:space="preserve">, </w:t>
      </w:r>
      <w:proofErr w:type="gramStart"/>
      <w:r w:rsidRPr="00903D6A">
        <w:rPr>
          <w:rFonts w:ascii="Arial" w:hAnsi="Arial" w:cs="Arial"/>
          <w:iCs/>
        </w:rPr>
        <w:t>as a way to</w:t>
      </w:r>
      <w:proofErr w:type="gramEnd"/>
      <w:r w:rsidRPr="00903D6A">
        <w:rPr>
          <w:rFonts w:ascii="Arial" w:hAnsi="Arial" w:cs="Arial"/>
          <w:iCs/>
        </w:rPr>
        <w:t xml:space="preserve"> minimize intra-group variance to maximize the potency of later statistical tests. Afterwards, the QA filters were applied, and compounds with RSD values above 30% in the QCs were filtered.</w:t>
      </w:r>
    </w:p>
    <w:p w14:paraId="4C33DD24" w14:textId="5A1D8F6A" w:rsidR="00316136" w:rsidRPr="00903D6A" w:rsidRDefault="00316136" w:rsidP="00316136">
      <w:pPr>
        <w:spacing w:before="240" w:line="360" w:lineRule="auto"/>
        <w:jc w:val="both"/>
        <w:rPr>
          <w:rFonts w:ascii="Arial" w:hAnsi="Arial" w:cs="Arial"/>
          <w:i/>
        </w:rPr>
      </w:pPr>
      <w:r w:rsidRPr="00903D6A">
        <w:rPr>
          <w:rFonts w:ascii="Arial" w:hAnsi="Arial" w:cs="Arial"/>
          <w:b/>
          <w:bCs/>
          <w:i/>
        </w:rPr>
        <w:t xml:space="preserve">Biological class annotation. </w:t>
      </w:r>
      <w:r w:rsidRPr="00903D6A">
        <w:rPr>
          <w:rFonts w:ascii="Arial" w:hAnsi="Arial" w:cs="Arial"/>
          <w:lang w:val="en-GB"/>
        </w:rPr>
        <w:t xml:space="preserve">For the annotation of the biological class of each annotated metabolite, several internet metabolite databases were consulted, mainly Human Metabolome Database (HMDB, </w:t>
      </w:r>
      <w:hyperlink r:id="rId11" w:history="1">
        <w:r w:rsidRPr="00903D6A">
          <w:rPr>
            <w:rFonts w:ascii="Arial" w:eastAsia="Times New Roman" w:hAnsi="Arial" w:cs="Arial"/>
            <w:color w:val="0000FF"/>
            <w:u w:val="single"/>
            <w:lang w:val="en-GB"/>
          </w:rPr>
          <w:t>http://www.hmdb.ca/</w:t>
        </w:r>
      </w:hyperlink>
      <w:r w:rsidRPr="00903D6A">
        <w:rPr>
          <w:rFonts w:ascii="Arial" w:hAnsi="Arial" w:cs="Arial"/>
          <w:lang w:val="en-GB"/>
        </w:rPr>
        <w:t xml:space="preserve">) and Kyoto Encyclopedia of Genes and Genomes (KEGG, </w:t>
      </w:r>
      <w:hyperlink r:id="rId12" w:history="1">
        <w:r w:rsidRPr="00903D6A">
          <w:rPr>
            <w:rStyle w:val="Hipervnculo"/>
            <w:rFonts w:ascii="Arial" w:hAnsi="Arial" w:cs="Arial"/>
            <w:lang w:val="en-GB"/>
          </w:rPr>
          <w:t>www.genome.jp/kegg/</w:t>
        </w:r>
      </w:hyperlink>
      <w:r w:rsidRPr="00903D6A">
        <w:rPr>
          <w:rFonts w:ascii="Arial" w:hAnsi="Arial" w:cs="Arial"/>
          <w:lang w:val="en-GB"/>
        </w:rPr>
        <w:t>).</w:t>
      </w:r>
    </w:p>
    <w:p w14:paraId="7737A3CA" w14:textId="5649D7D4" w:rsidR="003F0975" w:rsidRDefault="003F0975">
      <w:pPr>
        <w:rPr>
          <w:rFonts w:ascii="Arial" w:hAnsi="Arial" w:cs="Arial"/>
        </w:rPr>
      </w:pPr>
    </w:p>
    <w:p w14:paraId="264C957F" w14:textId="77777777" w:rsidR="00CC1C63" w:rsidRDefault="00CC1C63">
      <w:pPr>
        <w:rPr>
          <w:rFonts w:ascii="Arial" w:hAnsi="Arial" w:cs="Arial"/>
        </w:rPr>
      </w:pPr>
    </w:p>
    <w:p w14:paraId="74CB4AF8" w14:textId="3C1F53CB" w:rsidR="00CC1C63" w:rsidRPr="00CC1C63" w:rsidRDefault="00CC1C63">
      <w:pPr>
        <w:rPr>
          <w:rFonts w:ascii="Arial" w:hAnsi="Arial" w:cs="Arial"/>
          <w:b/>
          <w:bCs/>
          <w:u w:val="single"/>
        </w:rPr>
      </w:pPr>
      <w:r w:rsidRPr="00CC1C63">
        <w:rPr>
          <w:rFonts w:ascii="Arial" w:hAnsi="Arial" w:cs="Arial"/>
          <w:b/>
          <w:bCs/>
          <w:u w:val="single"/>
        </w:rPr>
        <w:lastRenderedPageBreak/>
        <w:t>Bibliography</w:t>
      </w:r>
    </w:p>
    <w:p w14:paraId="07385970" w14:textId="77777777" w:rsidR="00644A19" w:rsidRPr="00903D6A" w:rsidRDefault="00644A19">
      <w:pPr>
        <w:rPr>
          <w:rFonts w:ascii="Arial" w:hAnsi="Arial" w:cs="Arial"/>
        </w:rPr>
      </w:pPr>
    </w:p>
    <w:sdt>
      <w:sdtPr>
        <w:rPr>
          <w:rFonts w:ascii="Arial" w:hAnsi="Arial" w:cs="Arial"/>
        </w:rPr>
        <w:tag w:val="MENDELEY_BIBLIOGRAPHY"/>
        <w:id w:val="-314878636"/>
        <w:placeholder>
          <w:docPart w:val="DefaultPlaceholder_-1854013440"/>
        </w:placeholder>
      </w:sdtPr>
      <w:sdtEndPr/>
      <w:sdtContent>
        <w:p w14:paraId="27A92330" w14:textId="77777777" w:rsidR="00A81332" w:rsidRDefault="00A81332">
          <w:pPr>
            <w:autoSpaceDE w:val="0"/>
            <w:autoSpaceDN w:val="0"/>
            <w:ind w:hanging="640"/>
            <w:divId w:val="850797861"/>
            <w:rPr>
              <w:rFonts w:eastAsia="Times New Roman"/>
              <w:sz w:val="24"/>
              <w:szCs w:val="24"/>
            </w:rPr>
          </w:pPr>
          <w:r>
            <w:rPr>
              <w:rFonts w:eastAsia="Times New Roman"/>
            </w:rPr>
            <w:t xml:space="preserve">1. </w:t>
          </w:r>
          <w:r>
            <w:rPr>
              <w:rFonts w:eastAsia="Times New Roman"/>
            </w:rPr>
            <w:tab/>
            <w:t xml:space="preserve">Garcia A, Barbas C. Gas chromatography-mass spectrometry (GC-MS)-based metabolomics. </w:t>
          </w:r>
          <w:r>
            <w:rPr>
              <w:rFonts w:eastAsia="Times New Roman"/>
              <w:i/>
              <w:iCs/>
            </w:rPr>
            <w:t>Methods Mol Biol</w:t>
          </w:r>
          <w:r>
            <w:rPr>
              <w:rFonts w:eastAsia="Times New Roman"/>
            </w:rPr>
            <w:t xml:space="preserve">. </w:t>
          </w:r>
          <w:proofErr w:type="gramStart"/>
          <w:r>
            <w:rPr>
              <w:rFonts w:eastAsia="Times New Roman"/>
            </w:rPr>
            <w:t>2011;708:191</w:t>
          </w:r>
          <w:proofErr w:type="gramEnd"/>
          <w:r>
            <w:rPr>
              <w:rFonts w:eastAsia="Times New Roman"/>
            </w:rPr>
            <w:t>-204. doi:10.1007/978-1-61737-985-7_11</w:t>
          </w:r>
        </w:p>
        <w:p w14:paraId="01FE801B" w14:textId="1EB7A5CE" w:rsidR="00644A19" w:rsidRPr="00903D6A" w:rsidRDefault="00A81332" w:rsidP="006D0DF1">
          <w:pPr>
            <w:jc w:val="both"/>
            <w:rPr>
              <w:rFonts w:ascii="Arial" w:hAnsi="Arial" w:cs="Arial"/>
            </w:rPr>
          </w:pPr>
          <w:r>
            <w:rPr>
              <w:rFonts w:eastAsia="Times New Roman"/>
            </w:rPr>
            <w:t> </w:t>
          </w:r>
        </w:p>
      </w:sdtContent>
    </w:sdt>
    <w:sectPr w:rsidR="00644A19" w:rsidRPr="00903D6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212B81"/>
    <w:multiLevelType w:val="hybridMultilevel"/>
    <w:tmpl w:val="10144978"/>
    <w:lvl w:ilvl="0" w:tplc="A7AE334A">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7D9D5334"/>
    <w:multiLevelType w:val="hybridMultilevel"/>
    <w:tmpl w:val="657A59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14243817">
    <w:abstractNumId w:val="1"/>
  </w:num>
  <w:num w:numId="2" w16cid:durableId="1159079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0975"/>
    <w:rsid w:val="000A638F"/>
    <w:rsid w:val="001C4AE3"/>
    <w:rsid w:val="002C0C73"/>
    <w:rsid w:val="00316136"/>
    <w:rsid w:val="00392723"/>
    <w:rsid w:val="003B0AFB"/>
    <w:rsid w:val="003F0975"/>
    <w:rsid w:val="00467BDF"/>
    <w:rsid w:val="004E567F"/>
    <w:rsid w:val="00644A19"/>
    <w:rsid w:val="006B1FD3"/>
    <w:rsid w:val="006B7ADF"/>
    <w:rsid w:val="006D0DF1"/>
    <w:rsid w:val="00707816"/>
    <w:rsid w:val="007B00FE"/>
    <w:rsid w:val="008C3743"/>
    <w:rsid w:val="00903D6A"/>
    <w:rsid w:val="009B7D63"/>
    <w:rsid w:val="00A81332"/>
    <w:rsid w:val="00B90BE9"/>
    <w:rsid w:val="00C952C7"/>
    <w:rsid w:val="00CC1C63"/>
    <w:rsid w:val="00EA7B0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C7727"/>
  <w15:chartTrackingRefBased/>
  <w15:docId w15:val="{82960513-735A-402D-B27E-C1DC2F152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975"/>
    <w:rPr>
      <w:lang w:val="en-US"/>
    </w:rPr>
  </w:style>
  <w:style w:type="paragraph" w:styleId="Ttulo1">
    <w:name w:val="heading 1"/>
    <w:basedOn w:val="Normal"/>
    <w:link w:val="Ttulo1Car"/>
    <w:uiPriority w:val="9"/>
    <w:qFormat/>
    <w:rsid w:val="00316136"/>
    <w:pPr>
      <w:widowControl w:val="0"/>
      <w:autoSpaceDE w:val="0"/>
      <w:autoSpaceDN w:val="0"/>
      <w:spacing w:after="0" w:line="240" w:lineRule="auto"/>
      <w:ind w:left="3400"/>
      <w:outlineLvl w:val="0"/>
    </w:pPr>
    <w:rPr>
      <w:rFonts w:ascii="Arial" w:eastAsia="Arial" w:hAnsi="Arial" w:cs="Arial"/>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F097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F0975"/>
    <w:rPr>
      <w:rFonts w:ascii="Segoe UI" w:hAnsi="Segoe UI" w:cs="Segoe UI"/>
      <w:sz w:val="18"/>
      <w:szCs w:val="18"/>
    </w:rPr>
  </w:style>
  <w:style w:type="character" w:styleId="Refdecomentario">
    <w:name w:val="annotation reference"/>
    <w:basedOn w:val="Fuentedeprrafopredeter"/>
    <w:uiPriority w:val="99"/>
    <w:semiHidden/>
    <w:unhideWhenUsed/>
    <w:rsid w:val="003F0975"/>
    <w:rPr>
      <w:sz w:val="16"/>
      <w:szCs w:val="16"/>
    </w:rPr>
  </w:style>
  <w:style w:type="paragraph" w:styleId="Textocomentario">
    <w:name w:val="annotation text"/>
    <w:basedOn w:val="Normal"/>
    <w:link w:val="TextocomentarioCar"/>
    <w:uiPriority w:val="99"/>
    <w:unhideWhenUsed/>
    <w:rsid w:val="003F0975"/>
    <w:pPr>
      <w:spacing w:line="240" w:lineRule="auto"/>
    </w:pPr>
    <w:rPr>
      <w:sz w:val="20"/>
      <w:szCs w:val="20"/>
      <w:lang w:val="es-ES"/>
    </w:rPr>
  </w:style>
  <w:style w:type="character" w:customStyle="1" w:styleId="TextocomentarioCar">
    <w:name w:val="Texto comentario Car"/>
    <w:basedOn w:val="Fuentedeprrafopredeter"/>
    <w:link w:val="Textocomentario"/>
    <w:uiPriority w:val="99"/>
    <w:rsid w:val="003F0975"/>
    <w:rPr>
      <w:sz w:val="20"/>
      <w:szCs w:val="20"/>
    </w:rPr>
  </w:style>
  <w:style w:type="paragraph" w:styleId="Prrafodelista">
    <w:name w:val="List Paragraph"/>
    <w:basedOn w:val="Normal"/>
    <w:uiPriority w:val="34"/>
    <w:qFormat/>
    <w:rsid w:val="003F0975"/>
    <w:pPr>
      <w:ind w:left="720"/>
      <w:contextualSpacing/>
    </w:pPr>
  </w:style>
  <w:style w:type="paragraph" w:styleId="Bibliografa">
    <w:name w:val="Bibliography"/>
    <w:basedOn w:val="Normal"/>
    <w:next w:val="Normal"/>
    <w:uiPriority w:val="37"/>
    <w:unhideWhenUsed/>
    <w:rsid w:val="003F0975"/>
    <w:pPr>
      <w:tabs>
        <w:tab w:val="left" w:pos="384"/>
      </w:tabs>
      <w:spacing w:after="240" w:line="240" w:lineRule="auto"/>
      <w:ind w:left="384" w:hanging="384"/>
    </w:pPr>
  </w:style>
  <w:style w:type="character" w:customStyle="1" w:styleId="Ttulo1Car">
    <w:name w:val="Título 1 Car"/>
    <w:basedOn w:val="Fuentedeprrafopredeter"/>
    <w:link w:val="Ttulo1"/>
    <w:uiPriority w:val="9"/>
    <w:rsid w:val="00316136"/>
    <w:rPr>
      <w:rFonts w:ascii="Arial" w:eastAsia="Arial" w:hAnsi="Arial" w:cs="Arial"/>
      <w:sz w:val="24"/>
      <w:szCs w:val="24"/>
      <w:lang w:val="en-US"/>
    </w:rPr>
  </w:style>
  <w:style w:type="character" w:styleId="Hipervnculo">
    <w:name w:val="Hyperlink"/>
    <w:basedOn w:val="Fuentedeprrafopredeter"/>
    <w:uiPriority w:val="99"/>
    <w:unhideWhenUsed/>
    <w:rsid w:val="00316136"/>
    <w:rPr>
      <w:color w:val="0563C1" w:themeColor="hyperlink"/>
      <w:u w:val="single"/>
    </w:rPr>
  </w:style>
  <w:style w:type="paragraph" w:styleId="Textoindependiente">
    <w:name w:val="Body Text"/>
    <w:basedOn w:val="Normal"/>
    <w:link w:val="TextoindependienteCar"/>
    <w:uiPriority w:val="1"/>
    <w:qFormat/>
    <w:rsid w:val="00316136"/>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TextoindependienteCar">
    <w:name w:val="Texto independiente Car"/>
    <w:basedOn w:val="Fuentedeprrafopredeter"/>
    <w:link w:val="Textoindependiente"/>
    <w:uiPriority w:val="1"/>
    <w:rsid w:val="00316136"/>
    <w:rPr>
      <w:rFonts w:ascii="Times New Roman" w:eastAsia="Times New Roman" w:hAnsi="Times New Roman" w:cs="Times New Roman"/>
      <w:sz w:val="20"/>
      <w:szCs w:val="20"/>
      <w:lang w:val="en-US"/>
    </w:rPr>
  </w:style>
  <w:style w:type="character" w:styleId="Textodelmarcadordeposicin">
    <w:name w:val="Placeholder Text"/>
    <w:basedOn w:val="Fuentedeprrafopredeter"/>
    <w:uiPriority w:val="99"/>
    <w:semiHidden/>
    <w:rsid w:val="009B7D6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885177">
      <w:bodyDiv w:val="1"/>
      <w:marLeft w:val="0"/>
      <w:marRight w:val="0"/>
      <w:marTop w:val="0"/>
      <w:marBottom w:val="0"/>
      <w:divBdr>
        <w:top w:val="none" w:sz="0" w:space="0" w:color="auto"/>
        <w:left w:val="none" w:sz="0" w:space="0" w:color="auto"/>
        <w:bottom w:val="none" w:sz="0" w:space="0" w:color="auto"/>
        <w:right w:val="none" w:sz="0" w:space="0" w:color="auto"/>
      </w:divBdr>
      <w:divsChild>
        <w:div w:id="850797861">
          <w:marLeft w:val="640"/>
          <w:marRight w:val="0"/>
          <w:marTop w:val="0"/>
          <w:marBottom w:val="0"/>
          <w:divBdr>
            <w:top w:val="none" w:sz="0" w:space="0" w:color="auto"/>
            <w:left w:val="none" w:sz="0" w:space="0" w:color="auto"/>
            <w:bottom w:val="none" w:sz="0" w:space="0" w:color="auto"/>
            <w:right w:val="none" w:sz="0" w:space="0" w:color="auto"/>
          </w:divBdr>
        </w:div>
      </w:divsChild>
    </w:div>
    <w:div w:id="708842923">
      <w:bodyDiv w:val="1"/>
      <w:marLeft w:val="0"/>
      <w:marRight w:val="0"/>
      <w:marTop w:val="0"/>
      <w:marBottom w:val="0"/>
      <w:divBdr>
        <w:top w:val="none" w:sz="0" w:space="0" w:color="auto"/>
        <w:left w:val="none" w:sz="0" w:space="0" w:color="auto"/>
        <w:bottom w:val="none" w:sz="0" w:space="0" w:color="auto"/>
        <w:right w:val="none" w:sz="0" w:space="0" w:color="auto"/>
      </w:divBdr>
      <w:divsChild>
        <w:div w:id="2052806766">
          <w:marLeft w:val="640"/>
          <w:marRight w:val="0"/>
          <w:marTop w:val="0"/>
          <w:marBottom w:val="0"/>
          <w:divBdr>
            <w:top w:val="none" w:sz="0" w:space="0" w:color="auto"/>
            <w:left w:val="none" w:sz="0" w:space="0" w:color="auto"/>
            <w:bottom w:val="none" w:sz="0" w:space="0" w:color="auto"/>
            <w:right w:val="none" w:sz="0" w:space="0" w:color="auto"/>
          </w:divBdr>
        </w:div>
        <w:div w:id="564686385">
          <w:marLeft w:val="640"/>
          <w:marRight w:val="0"/>
          <w:marTop w:val="0"/>
          <w:marBottom w:val="0"/>
          <w:divBdr>
            <w:top w:val="none" w:sz="0" w:space="0" w:color="auto"/>
            <w:left w:val="none" w:sz="0" w:space="0" w:color="auto"/>
            <w:bottom w:val="none" w:sz="0" w:space="0" w:color="auto"/>
            <w:right w:val="none" w:sz="0" w:space="0" w:color="auto"/>
          </w:divBdr>
        </w:div>
        <w:div w:id="1815485737">
          <w:marLeft w:val="640"/>
          <w:marRight w:val="0"/>
          <w:marTop w:val="0"/>
          <w:marBottom w:val="0"/>
          <w:divBdr>
            <w:top w:val="none" w:sz="0" w:space="0" w:color="auto"/>
            <w:left w:val="none" w:sz="0" w:space="0" w:color="auto"/>
            <w:bottom w:val="none" w:sz="0" w:space="0" w:color="auto"/>
            <w:right w:val="none" w:sz="0" w:space="0" w:color="auto"/>
          </w:divBdr>
        </w:div>
        <w:div w:id="847671248">
          <w:marLeft w:val="640"/>
          <w:marRight w:val="0"/>
          <w:marTop w:val="0"/>
          <w:marBottom w:val="0"/>
          <w:divBdr>
            <w:top w:val="none" w:sz="0" w:space="0" w:color="auto"/>
            <w:left w:val="none" w:sz="0" w:space="0" w:color="auto"/>
            <w:bottom w:val="none" w:sz="0" w:space="0" w:color="auto"/>
            <w:right w:val="none" w:sz="0" w:space="0" w:color="auto"/>
          </w:divBdr>
        </w:div>
        <w:div w:id="482813087">
          <w:marLeft w:val="640"/>
          <w:marRight w:val="0"/>
          <w:marTop w:val="0"/>
          <w:marBottom w:val="0"/>
          <w:divBdr>
            <w:top w:val="none" w:sz="0" w:space="0" w:color="auto"/>
            <w:left w:val="none" w:sz="0" w:space="0" w:color="auto"/>
            <w:bottom w:val="none" w:sz="0" w:space="0" w:color="auto"/>
            <w:right w:val="none" w:sz="0" w:space="0" w:color="auto"/>
          </w:divBdr>
        </w:div>
        <w:div w:id="79134350">
          <w:marLeft w:val="640"/>
          <w:marRight w:val="0"/>
          <w:marTop w:val="0"/>
          <w:marBottom w:val="0"/>
          <w:divBdr>
            <w:top w:val="none" w:sz="0" w:space="0" w:color="auto"/>
            <w:left w:val="none" w:sz="0" w:space="0" w:color="auto"/>
            <w:bottom w:val="none" w:sz="0" w:space="0" w:color="auto"/>
            <w:right w:val="none" w:sz="0" w:space="0" w:color="auto"/>
          </w:divBdr>
        </w:div>
      </w:divsChild>
    </w:div>
    <w:div w:id="755319365">
      <w:bodyDiv w:val="1"/>
      <w:marLeft w:val="0"/>
      <w:marRight w:val="0"/>
      <w:marTop w:val="0"/>
      <w:marBottom w:val="0"/>
      <w:divBdr>
        <w:top w:val="none" w:sz="0" w:space="0" w:color="auto"/>
        <w:left w:val="none" w:sz="0" w:space="0" w:color="auto"/>
        <w:bottom w:val="none" w:sz="0" w:space="0" w:color="auto"/>
        <w:right w:val="none" w:sz="0" w:space="0" w:color="auto"/>
      </w:divBdr>
      <w:divsChild>
        <w:div w:id="125070018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genome.jp/keg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hmdb.c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https://metlin.scripps.edu/" TargetMode="External"/><Relationship Id="rId4" Type="http://schemas.openxmlformats.org/officeDocument/2006/relationships/customXml" Target="../customXml/item4.xml"/><Relationship Id="rId9" Type="http://schemas.openxmlformats.org/officeDocument/2006/relationships/hyperlink" Target="http://ceumass.eps.uspceu.es/"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5F175EF-326B-4990-8234-902B7FAEECB8}"/>
      </w:docPartPr>
      <w:docPartBody>
        <w:p w:rsidR="00E8369D" w:rsidRDefault="00A6577B">
          <w:r w:rsidRPr="009A3FA5">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77B"/>
    <w:rsid w:val="00A6577B"/>
    <w:rsid w:val="00B9490C"/>
    <w:rsid w:val="00E8369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6577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1F70858-5696-4DE1-93E6-67B01EB2B5C7}">
  <we:reference id="wa104382081" version="1.46.0.0" store="es-ES" storeType="OMEX"/>
  <we:alternateReferences>
    <we:reference id="WA104382081" version="1.46.0.0" store="" storeType="OMEX"/>
  </we:alternateReferences>
  <we:properties>
    <we:property name="MENDELEY_CITATIONS" value="[{&quot;citationID&quot;:&quot;MENDELEY_CITATION_2ff1da4a-14e9-4fa5-a839-51803723aeb4&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&quot;,&quot;citationItems&quot;:[{&quot;id&quot;:&quot;cf635fe0-1df4-35c8-83b2-01b3ddd38fd5&quot;,&quot;itemData&quot;:{&quot;type&quot;:&quot;article-journal&quot;,&quot;id&quot;:&quot;cf635fe0-1df4-35c8-83b2-01b3ddd38fd5&quot;,&quot;title&quot;:&quot;Gas chromatography-mass spectrometry (GC-MS)-based metabolomics&quot;,&quot;author&quot;:[{&quot;family&quot;:&quot;Garcia&quot;,&quot;given&quot;:&quot;Antonia&quot;,&quot;parse-names&quot;:false,&quot;dropping-particle&quot;:&quot;&quot;,&quot;non-dropping-particle&quot;:&quot;&quot;},{&quot;family&quot;:&quot;Barbas&quot;,&quot;given&quot;:&quot;Coral&quot;,&quot;parse-names&quot;:false,&quot;dropping-particle&quot;:&quot;&quot;,&quot;non-dropping-particle&quot;:&quot;&quot;}],&quot;container-title&quot;:&quot;Methods in molecular biology (Clifton, N.J.)&quot;,&quot;container-title-short&quot;:&quot;Methods Mol Biol&quot;,&quot;accessed&quot;:{&quot;date-parts&quot;:[[2022,1,11]]},&quot;DOI&quot;:&quot;10.1007/978-1-61737-985-7_11&quot;,&quot;ISSN&quot;:&quot;1940-6029&quot;,&quot;PMID&quot;:&quot;21207291&quot;,&quot;URL&quot;:&quot;https://pubmed.ncbi.nlm.nih.gov/21207291/&quot;,&quot;issued&quot;:{&quot;date-parts&quot;:[[2011]]},&quot;page&quot;:&quot;191-204&quot;,&quot;abstract&quot;:&quot;Metabolic fingerprinting, the main tool in metabolomics, is a non-targeted methodology where all detectable peaks (or signals), including those from unknown analytes, are considered to establish sample classification. After pattern comparison, those signals changing in response to a specific situation under investigation are identified to gain biological insight. For this purpose, gas chromatographymass spectrometry (GC-MS) has a drawback in that only volatile compounds or compounds that can be made volatile after derivatization can be analysed, and derivatization often requires extensive sample treatment. However, once the analysis is focused on low molecular weight metabolites, GC-MS is highly efficient, sensitive, and reproducible. Moreover, it is quantitative, and its compound identification capabilities are superior to other separation techniques because GC-MS instruments obtain mass spectra with reproducible fragmentation patterns, which allow for the creation of public databases. This chapter describes well-established protocols for metabolic fingerprinting (i.e. the comprehensive analysis of small molecules) in plasma and urine using GC-MS. Guidelines will also be provided regarding subsequent data pre-treatment, pattern recognition, and marker identification.&quot;,&quot;publisher&quot;:&quot;Methods Mol Biol&quot;,&quot;volume&quot;:&quot;708&quot;},&quot;isTemporary&quot;:false}]}]"/>
    <we:property name="MENDELEY_CITATIONS_STYLE" value="{&quot;id&quot;:&quot;https://www.zotero.org/styles/american-medical-association&quot;,&quot;title&quot;:&quot;American Medical Association 11th edition&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2EF83E2A743B5D4BA09E7DA13EE6A7C9" ma:contentTypeVersion="16" ma:contentTypeDescription="Crear nuevo documento." ma:contentTypeScope="" ma:versionID="74dafbba7126f9abe7b2182ce844c29d">
  <xsd:schema xmlns:xsd="http://www.w3.org/2001/XMLSchema" xmlns:xs="http://www.w3.org/2001/XMLSchema" xmlns:p="http://schemas.microsoft.com/office/2006/metadata/properties" xmlns:ns2="4ae67289-6f8b-4c52-898b-24920e7c1e74" xmlns:ns3="0e4dae06-90d7-4b7c-b781-ca140ac3eb48" targetNamespace="http://schemas.microsoft.com/office/2006/metadata/properties" ma:root="true" ma:fieldsID="8bc004dd46c5c32b2069dabc837d63ce" ns2:_="" ns3:_="">
    <xsd:import namespace="4ae67289-6f8b-4c52-898b-24920e7c1e74"/>
    <xsd:import namespace="0e4dae06-90d7-4b7c-b781-ca140ac3eb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e67289-6f8b-4c52-898b-24920e7c1e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f9540004-d403-45e8-a1d8-a4f36aa2530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e4dae06-90d7-4b7c-b781-ca140ac3eb48" elementFormDefault="qualified">
    <xsd:import namespace="http://schemas.microsoft.com/office/2006/documentManagement/types"/>
    <xsd:import namespace="http://schemas.microsoft.com/office/infopath/2007/PartnerControls"/>
    <xsd:element name="SharedWithUsers" ma:index="14"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585c5062-f1c7-44b4-a2e8-693b42a7dccf}" ma:internalName="TaxCatchAll" ma:showField="CatchAllData" ma:web="0e4dae06-90d7-4b7c-b781-ca140ac3eb4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0e4dae06-90d7-4b7c-b781-ca140ac3eb48" xsi:nil="true"/>
    <lcf76f155ced4ddcb4097134ff3c332f xmlns="4ae67289-6f8b-4c52-898b-24920e7c1e7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9952DF3-77D0-49E1-AE26-0EDD8D591448}">
  <ds:schemaRefs>
    <ds:schemaRef ds:uri="http://schemas.openxmlformats.org/officeDocument/2006/bibliography"/>
  </ds:schemaRefs>
</ds:datastoreItem>
</file>

<file path=customXml/itemProps2.xml><?xml version="1.0" encoding="utf-8"?>
<ds:datastoreItem xmlns:ds="http://schemas.openxmlformats.org/officeDocument/2006/customXml" ds:itemID="{0E724570-5818-4321-A7D4-29B787995C9C}">
  <ds:schemaRefs>
    <ds:schemaRef ds:uri="http://schemas.microsoft.com/sharepoint/v3/contenttype/forms"/>
  </ds:schemaRefs>
</ds:datastoreItem>
</file>

<file path=customXml/itemProps3.xml><?xml version="1.0" encoding="utf-8"?>
<ds:datastoreItem xmlns:ds="http://schemas.openxmlformats.org/officeDocument/2006/customXml" ds:itemID="{E81B8F67-0C08-414C-91CF-D4F9BAFFD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e67289-6f8b-4c52-898b-24920e7c1e74"/>
    <ds:schemaRef ds:uri="0e4dae06-90d7-4b7c-b781-ca140ac3eb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336048A-072A-4945-B21E-88F29915466C}">
  <ds:schemaRefs>
    <ds:schemaRef ds:uri="http://schemas.microsoft.com/office/2006/metadata/properties"/>
    <ds:schemaRef ds:uri="http://schemas.microsoft.com/office/infopath/2007/PartnerControls"/>
    <ds:schemaRef ds:uri="0e4dae06-90d7-4b7c-b781-ca140ac3eb48"/>
    <ds:schemaRef ds:uri="4ae67289-6f8b-4c52-898b-24920e7c1e74"/>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5</Pages>
  <Words>1653</Words>
  <Characters>9092</Characters>
  <Application>Microsoft Office Word</Application>
  <DocSecurity>0</DocSecurity>
  <Lines>75</Lines>
  <Paragraphs>21</Paragraphs>
  <ScaleCrop>false</ScaleCrop>
  <Company/>
  <LinksUpToDate>false</LinksUpToDate>
  <CharactersWithSpaces>10724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Tomás Clive Barker Tejeda</dc:creator>
  <cp:keywords/>
  <dc:description/>
  <cp:lastModifiedBy>Elisa Zubeldia Varela</cp:lastModifiedBy>
  <cp:revision>24</cp:revision>
  <dcterms:created xsi:type="dcterms:W3CDTF">2020-04-01T15:52:00Z</dcterms:created>
  <dcterms:modified xsi:type="dcterms:W3CDTF">2022-06-13T16:09:00Z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zotero-version="5.0.85"&gt;&lt;session id="pJ9nRsDW"/&gt;&lt;style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value="true"/&gt;&lt;/prefs&gt;&lt;/data&gt;</vt:lpwstr>
  </property>
  <property fmtid="{D5CDD505-2E9C-101B-9397-08002B2CF9AE}" pid="4" name="ContentTypeId">
    <vt:lpwstr>0x0101002EF83E2A743B5D4BA09E7DA13EE6A7C9</vt:lpwstr>
  </property>
  <property fmtid="{D5CDD505-2E9C-101B-9397-08002B2CF9AE}" pid="5" name="MediaServiceImageTags">
    <vt:lpwstr/>
  </property>
</Properties>
</file>