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4926F" w14:textId="77777777" w:rsidR="00AC0261" w:rsidRPr="0014686F" w:rsidRDefault="00AC0261" w:rsidP="003E4897">
      <w:pPr>
        <w:rPr>
          <w:rFonts w:ascii="Arial" w:hAnsi="Arial" w:cs="Arial"/>
          <w:b/>
          <w:color w:val="000000" w:themeColor="text1"/>
          <w:u w:color="274EC0"/>
        </w:rPr>
      </w:pPr>
      <w:r w:rsidRPr="0014686F">
        <w:rPr>
          <w:rFonts w:ascii="Arial" w:hAnsi="Arial" w:cs="Arial"/>
          <w:b/>
          <w:color w:val="000000" w:themeColor="text1"/>
          <w:u w:color="274EC0"/>
        </w:rPr>
        <w:t>Materials and Methods</w:t>
      </w:r>
    </w:p>
    <w:p w14:paraId="44D4D64F" w14:textId="77777777" w:rsidR="00AC0261" w:rsidRPr="0014686F" w:rsidRDefault="00AC0261" w:rsidP="003E4897">
      <w:pPr>
        <w:rPr>
          <w:rFonts w:ascii="Arial" w:hAnsi="Arial" w:cs="Arial"/>
          <w:b/>
          <w:color w:val="000000" w:themeColor="text1"/>
          <w:u w:color="274EC0"/>
        </w:rPr>
      </w:pPr>
    </w:p>
    <w:p w14:paraId="342E7F9F" w14:textId="403902E8" w:rsidR="00AC0261" w:rsidRPr="0014686F" w:rsidRDefault="00AC0261" w:rsidP="003E4897">
      <w:pPr>
        <w:rPr>
          <w:rFonts w:ascii="Arial" w:hAnsi="Arial" w:cs="Arial"/>
          <w:color w:val="000000" w:themeColor="text1"/>
        </w:rPr>
      </w:pPr>
      <w:r w:rsidRPr="0014686F">
        <w:rPr>
          <w:rFonts w:ascii="Arial" w:hAnsi="Arial" w:cs="Arial"/>
          <w:b/>
          <w:color w:val="000000" w:themeColor="text1"/>
        </w:rPr>
        <w:t>Experimental animals</w:t>
      </w:r>
      <w:r w:rsidRPr="0014686F">
        <w:rPr>
          <w:rFonts w:ascii="Arial" w:hAnsi="Arial" w:cs="Arial"/>
          <w:b/>
          <w:i/>
          <w:color w:val="000000" w:themeColor="text1"/>
        </w:rPr>
        <w:t xml:space="preserve"> –</w:t>
      </w:r>
      <w:r w:rsidRPr="0014686F">
        <w:rPr>
          <w:rFonts w:ascii="Arial" w:hAnsi="Arial" w:cs="Arial"/>
          <w:b/>
          <w:color w:val="000000" w:themeColor="text1"/>
          <w:u w:color="274EC0"/>
        </w:rPr>
        <w:t xml:space="preserve"> </w:t>
      </w:r>
      <w:r w:rsidRPr="0014686F">
        <w:rPr>
          <w:rFonts w:ascii="Arial" w:hAnsi="Arial" w:cs="Arial"/>
          <w:color w:val="000000" w:themeColor="text1"/>
        </w:rPr>
        <w:t xml:space="preserve">Wild-type (WT) C57BL/6 mice were obtained from Charles River laboratories (Massachusetts, MA) and an in-campus mouse breeding core facility at the University of Texas Southwestern Medical Center (UTSW). All animals were conditioned in-house for 5-6 days after arrival with commercial diet and tap water available </w:t>
      </w:r>
      <w:r w:rsidRPr="0014686F">
        <w:rPr>
          <w:rFonts w:ascii="Arial" w:hAnsi="Arial" w:cs="Arial"/>
          <w:i/>
          <w:iCs/>
          <w:color w:val="000000" w:themeColor="text1"/>
        </w:rPr>
        <w:t>ad libitum</w:t>
      </w:r>
      <w:r w:rsidRPr="0014686F">
        <w:rPr>
          <w:rFonts w:ascii="Arial" w:hAnsi="Arial" w:cs="Arial"/>
          <w:color w:val="000000" w:themeColor="text1"/>
        </w:rPr>
        <w:t>. Animal work descripted in this study was reviewed by and conducted under the oversight of UTSW Institutional Animal Care and Use Committee and conformed to the National Research Council’s “Guide for the Care and Use of Laboratory Animals” when establishing animal research standards.</w:t>
      </w:r>
    </w:p>
    <w:p w14:paraId="663167DA" w14:textId="24745F5D" w:rsidR="003E4897" w:rsidRPr="0014686F" w:rsidRDefault="003E4897" w:rsidP="003E4897">
      <w:pPr>
        <w:rPr>
          <w:rFonts w:ascii="Arial" w:hAnsi="Arial" w:cs="Arial"/>
          <w:color w:val="000000" w:themeColor="text1"/>
        </w:rPr>
      </w:pPr>
    </w:p>
    <w:p w14:paraId="19E1AB6C" w14:textId="56E34C74" w:rsidR="003E4897" w:rsidRPr="0014686F" w:rsidRDefault="00C03041" w:rsidP="003E4897">
      <w:pPr>
        <w:rPr>
          <w:rFonts w:ascii="Arial" w:hAnsi="Arial" w:cs="Arial"/>
          <w:color w:val="000000" w:themeColor="text1"/>
        </w:rPr>
      </w:pPr>
      <w:r w:rsidRPr="0014686F">
        <w:rPr>
          <w:rFonts w:ascii="Arial" w:hAnsi="Arial" w:cs="Arial"/>
          <w:b/>
          <w:bCs/>
          <w:color w:val="000000" w:themeColor="text1"/>
        </w:rPr>
        <w:t>Treatments</w:t>
      </w:r>
      <w:r w:rsidRPr="0014686F">
        <w:rPr>
          <w:rFonts w:ascii="Arial" w:hAnsi="Arial" w:cs="Arial"/>
          <w:b/>
          <w:bCs/>
          <w:i/>
          <w:color w:val="000000" w:themeColor="text1"/>
        </w:rPr>
        <w:t xml:space="preserve"> –</w:t>
      </w:r>
      <w:r w:rsidRPr="0014686F">
        <w:rPr>
          <w:rFonts w:ascii="Arial" w:hAnsi="Arial" w:cs="Arial"/>
          <w:b/>
          <w:color w:val="000000" w:themeColor="text1"/>
          <w:u w:color="274EC0"/>
        </w:rPr>
        <w:t xml:space="preserve"> </w:t>
      </w:r>
      <w:r w:rsidR="003E4897" w:rsidRPr="0014686F">
        <w:rPr>
          <w:rFonts w:ascii="Arial" w:hAnsi="Arial" w:cs="Arial"/>
          <w:color w:val="000000" w:themeColor="text1"/>
        </w:rPr>
        <w:t xml:space="preserve">Endotoxemia was induced in young (10-week) and aged (24-week) male mice by lipopolysaccharide (LPS).  Based on published results as well as observations in our laboratory, male and female mice showed significantly different susceptibility to systemic symptoms in sepsis models. Thus, male but not female mice were chosen for the experiments presented in this report. LPS was administered </w:t>
      </w:r>
      <w:hyperlink r:id="rId4" w:history="1">
        <w:r w:rsidR="003E4897" w:rsidRPr="0014686F">
          <w:rPr>
            <w:rFonts w:ascii="Arial" w:hAnsi="Arial" w:cs="Arial"/>
            <w:color w:val="000000" w:themeColor="text1"/>
          </w:rPr>
          <w:t>intraperitoneally</w:t>
        </w:r>
      </w:hyperlink>
      <w:r w:rsidR="003E4897" w:rsidRPr="0014686F">
        <w:rPr>
          <w:rFonts w:ascii="Arial" w:hAnsi="Arial" w:cs="Arial"/>
          <w:color w:val="000000" w:themeColor="text1"/>
        </w:rPr>
        <w:t xml:space="preserve"> (</w:t>
      </w:r>
      <w:proofErr w:type="spellStart"/>
      <w:r w:rsidR="003E4897" w:rsidRPr="0014686F">
        <w:rPr>
          <w:rFonts w:ascii="Arial" w:hAnsi="Arial" w:cs="Arial"/>
          <w:color w:val="000000" w:themeColor="text1"/>
        </w:rPr>
        <w:t>i.p.</w:t>
      </w:r>
      <w:proofErr w:type="spellEnd"/>
      <w:r w:rsidR="003E4897" w:rsidRPr="0014686F">
        <w:rPr>
          <w:rFonts w:ascii="Arial" w:hAnsi="Arial" w:cs="Arial"/>
          <w:color w:val="000000" w:themeColor="text1"/>
        </w:rPr>
        <w:t>), and mice were weighed individually to determine the exact amount of LPS (</w:t>
      </w:r>
      <w:proofErr w:type="spellStart"/>
      <w:r w:rsidR="003E4897" w:rsidRPr="0014686F">
        <w:rPr>
          <w:rFonts w:ascii="Arial" w:hAnsi="Arial" w:cs="Arial"/>
          <w:color w:val="000000" w:themeColor="text1"/>
          <w:shd w:val="clear" w:color="auto" w:fill="FFFFFF"/>
        </w:rPr>
        <w:t>MilliporeSigma</w:t>
      </w:r>
      <w:proofErr w:type="spellEnd"/>
      <w:r w:rsidR="003E4897" w:rsidRPr="0014686F">
        <w:rPr>
          <w:rFonts w:ascii="Arial" w:hAnsi="Arial" w:cs="Arial"/>
          <w:color w:val="000000" w:themeColor="text1"/>
          <w:shd w:val="clear" w:color="auto" w:fill="FFFFFF"/>
        </w:rPr>
        <w:t>, Burlington, MA; catalog number L3012</w:t>
      </w:r>
      <w:r w:rsidR="003E4897" w:rsidRPr="0014686F">
        <w:rPr>
          <w:rFonts w:ascii="Arial" w:hAnsi="Arial" w:cs="Arial"/>
          <w:color w:val="000000" w:themeColor="text1"/>
        </w:rPr>
        <w:t>) required to achieve the</w:t>
      </w:r>
      <w:r w:rsidR="003E4897" w:rsidRPr="0014686F">
        <w:rPr>
          <w:rFonts w:ascii="Arial" w:hAnsi="Arial" w:cs="Arial"/>
          <w:color w:val="000000" w:themeColor="text1"/>
        </w:rPr>
        <w:t xml:space="preserve"> required doses</w:t>
      </w:r>
      <w:r w:rsidR="003E4897" w:rsidRPr="0014686F">
        <w:rPr>
          <w:rFonts w:ascii="Arial" w:hAnsi="Arial" w:cs="Arial"/>
          <w:color w:val="000000" w:themeColor="text1"/>
        </w:rPr>
        <w:t xml:space="preserve">. Sterile endotoxin-free PBS was used as a vehicle control in sham groups.  Consistent with literature and as expected, we observed that older mice were more susceptible to the toxic effects induced by LPS. 24-month-old (aged) mice showed impaired cardiac function but were able to survive when receiving LPS challenged at 1mg/kg. However, greater fatality was observed when LPS dose was increased to 3 mg/kg. In 10-week-old (young adult) mice, 3 mg/kg LPS triggered heart dysfunction without impact on survival, whereases at 10 mg/kg, we observed significant LPS-induced fatality in the group. Due to the different sensitivities to LPS between the aged and young adult mice, we were not able to choose a universal dose of LPS to induce cardiac dysfunction and to perform follow up analysis in both groups. Therefore, we used the physiological function of the heart as a base for comparison in the studies performed in this report. </w:t>
      </w:r>
    </w:p>
    <w:p w14:paraId="55C4561D" w14:textId="77777777" w:rsidR="003E4897" w:rsidRPr="0014686F" w:rsidRDefault="003E4897" w:rsidP="003E4897">
      <w:pPr>
        <w:rPr>
          <w:rFonts w:ascii="Arial" w:hAnsi="Arial" w:cs="Arial"/>
          <w:color w:val="000000" w:themeColor="text1"/>
          <w:u w:color="274EC0"/>
        </w:rPr>
      </w:pPr>
    </w:p>
    <w:p w14:paraId="1F1A2908" w14:textId="01FE3247" w:rsidR="003E4897" w:rsidRPr="0014686F" w:rsidRDefault="003E4897" w:rsidP="0014686F">
      <w:pPr>
        <w:rPr>
          <w:rFonts w:ascii="Arial" w:hAnsi="Arial" w:cs="Arial"/>
          <w:b/>
          <w:bCs/>
          <w:color w:val="000000" w:themeColor="text1"/>
        </w:rPr>
      </w:pPr>
      <w:r w:rsidRPr="0014686F">
        <w:rPr>
          <w:rFonts w:ascii="Arial" w:hAnsi="Arial" w:cs="Arial"/>
          <w:color w:val="000000" w:themeColor="text1"/>
          <w:u w:color="274EC0"/>
        </w:rPr>
        <w:t xml:space="preserve">Our previous research provided evidence that stimulating beclin-1 dependent autophagy improves cardiac performance during endotoxemia in young adult mice, and thus </w:t>
      </w:r>
      <w:r w:rsidRPr="0014686F">
        <w:rPr>
          <w:rFonts w:ascii="Arial" w:hAnsi="Arial" w:cs="Arial"/>
          <w:color w:val="000000" w:themeColor="text1"/>
        </w:rPr>
        <w:t>Beclin-1-activating peptide (TB peptide) holds a promising therapeutic potential for sepsis</w:t>
      </w:r>
      <w:r w:rsidRPr="0014686F">
        <w:rPr>
          <w:rFonts w:ascii="Arial" w:hAnsi="Arial" w:cs="Arial"/>
          <w:color w:val="000000" w:themeColor="text1"/>
          <w:u w:color="274EC0"/>
        </w:rPr>
        <w:t xml:space="preserve">. </w:t>
      </w:r>
      <w:r w:rsidRPr="0014686F">
        <w:rPr>
          <w:rFonts w:ascii="Arial" w:hAnsi="Arial" w:cs="Arial"/>
          <w:color w:val="000000" w:themeColor="text1"/>
          <w:u w:color="274EC0"/>
        </w:rPr>
        <w:t>In this report, we examined whether TB-peptide exerts a similar protective effect on aged animals under the same condition</w:t>
      </w:r>
      <w:r w:rsidRPr="0014686F">
        <w:rPr>
          <w:rFonts w:ascii="Arial" w:hAnsi="Arial" w:cs="Arial"/>
          <w:color w:val="000000" w:themeColor="text1"/>
        </w:rPr>
        <w:t>. In our experimental setting, sham or LPS challenge was administered to groups of 24-month-old and 10-week-old mice followed by treatment with TB-peptide</w:t>
      </w:r>
      <w:r w:rsidRPr="0014686F">
        <w:rPr>
          <w:rFonts w:ascii="Arial" w:hAnsi="Arial" w:cs="Arial"/>
          <w:color w:val="000000" w:themeColor="text1"/>
        </w:rPr>
        <w:t>,</w:t>
      </w:r>
      <w:r w:rsidRPr="0014686F">
        <w:rPr>
          <w:rFonts w:ascii="Arial" w:hAnsi="Arial" w:cs="Arial"/>
          <w:color w:val="000000" w:themeColor="text1"/>
        </w:rPr>
        <w:t xml:space="preserve"> administered </w:t>
      </w:r>
      <w:proofErr w:type="spellStart"/>
      <w:r w:rsidRPr="0014686F">
        <w:rPr>
          <w:rFonts w:ascii="Arial" w:hAnsi="Arial" w:cs="Arial"/>
          <w:color w:val="000000" w:themeColor="text1"/>
        </w:rPr>
        <w:t>i.p.</w:t>
      </w:r>
      <w:proofErr w:type="spellEnd"/>
      <w:r w:rsidRPr="0014686F">
        <w:rPr>
          <w:rFonts w:ascii="Arial" w:hAnsi="Arial" w:cs="Arial"/>
          <w:color w:val="000000" w:themeColor="text1"/>
        </w:rPr>
        <w:t xml:space="preserve"> at a dose of 16 mg/kg in 100μl of PBS 30 minutes post LPS-challenge.</w:t>
      </w:r>
      <w:r w:rsidRPr="0014686F">
        <w:rPr>
          <w:rFonts w:ascii="Arial" w:hAnsi="Arial" w:cs="Arial"/>
          <w:color w:val="000000" w:themeColor="text1"/>
        </w:rPr>
        <w:t xml:space="preserve"> </w:t>
      </w:r>
      <w:r w:rsidRPr="0014686F">
        <w:rPr>
          <w:rFonts w:ascii="Arial" w:hAnsi="Arial" w:cs="Arial"/>
          <w:color w:val="000000" w:themeColor="text1"/>
        </w:rPr>
        <w:t xml:space="preserve">Heart tissue was collected 18 hours post LPS challenge. </w:t>
      </w:r>
    </w:p>
    <w:p w14:paraId="79990E36" w14:textId="6EC4BF93" w:rsidR="00E6137E" w:rsidRPr="0014686F" w:rsidRDefault="00E6137E" w:rsidP="0014686F">
      <w:pPr>
        <w:rPr>
          <w:rFonts w:ascii="Arial" w:hAnsi="Arial" w:cs="Arial"/>
        </w:rPr>
      </w:pPr>
    </w:p>
    <w:p w14:paraId="6330FBD1" w14:textId="77777777" w:rsidR="00E41B87" w:rsidRPr="0014686F" w:rsidRDefault="00E41B87" w:rsidP="0014686F">
      <w:pPr>
        <w:rPr>
          <w:rFonts w:ascii="Arial" w:hAnsi="Arial" w:cs="Arial"/>
          <w:color w:val="000000" w:themeColor="text1"/>
        </w:rPr>
      </w:pPr>
      <w:r w:rsidRPr="0014686F">
        <w:rPr>
          <w:rFonts w:ascii="Arial" w:hAnsi="Arial" w:cs="Arial"/>
          <w:b/>
          <w:bCs/>
          <w:color w:val="000000" w:themeColor="text1"/>
        </w:rPr>
        <w:t>Table I. List of Animal Numbers Tested in Each Group</w:t>
      </w:r>
    </w:p>
    <w:tbl>
      <w:tblPr>
        <w:tblW w:w="4660" w:type="dxa"/>
        <w:tblLook w:val="04A0" w:firstRow="1" w:lastRow="0" w:firstColumn="1" w:lastColumn="0" w:noHBand="0" w:noVBand="1"/>
      </w:tblPr>
      <w:tblGrid>
        <w:gridCol w:w="1780"/>
        <w:gridCol w:w="1723"/>
        <w:gridCol w:w="1377"/>
        <w:gridCol w:w="1123"/>
      </w:tblGrid>
      <w:tr w:rsidR="00E41B87" w:rsidRPr="0014686F" w14:paraId="1B5C10DC" w14:textId="77777777" w:rsidTr="002A0C40">
        <w:trPr>
          <w:trHeight w:val="320"/>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396D45"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Age</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14:paraId="5B21E2EE"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Endotoxemia</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3E0BAFC2"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Treatment</w:t>
            </w:r>
          </w:p>
        </w:tc>
        <w:tc>
          <w:tcPr>
            <w:tcW w:w="680" w:type="dxa"/>
            <w:tcBorders>
              <w:top w:val="single" w:sz="4" w:space="0" w:color="auto"/>
              <w:left w:val="nil"/>
              <w:bottom w:val="single" w:sz="4" w:space="0" w:color="auto"/>
              <w:right w:val="single" w:sz="4" w:space="0" w:color="auto"/>
            </w:tcBorders>
            <w:shd w:val="clear" w:color="auto" w:fill="auto"/>
            <w:noWrap/>
            <w:vAlign w:val="bottom"/>
            <w:hideMark/>
          </w:tcPr>
          <w:p w14:paraId="61628383"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Number</w:t>
            </w:r>
          </w:p>
        </w:tc>
      </w:tr>
      <w:tr w:rsidR="00E41B87" w:rsidRPr="0014686F" w14:paraId="53824FCE" w14:textId="77777777" w:rsidTr="002A0C40">
        <w:trPr>
          <w:trHeight w:val="320"/>
        </w:trPr>
        <w:tc>
          <w:tcPr>
            <w:tcW w:w="17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FF7A59"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Aged 24-Month</w:t>
            </w:r>
          </w:p>
        </w:tc>
        <w:tc>
          <w:tcPr>
            <w:tcW w:w="1180" w:type="dxa"/>
            <w:tcBorders>
              <w:top w:val="nil"/>
              <w:left w:val="nil"/>
              <w:bottom w:val="single" w:sz="4" w:space="0" w:color="auto"/>
              <w:right w:val="single" w:sz="4" w:space="0" w:color="auto"/>
            </w:tcBorders>
            <w:shd w:val="clear" w:color="auto" w:fill="auto"/>
            <w:noWrap/>
            <w:vAlign w:val="bottom"/>
            <w:hideMark/>
          </w:tcPr>
          <w:p w14:paraId="25058B8A"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Sham</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0C6F37D"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None</w:t>
            </w:r>
          </w:p>
        </w:tc>
        <w:tc>
          <w:tcPr>
            <w:tcW w:w="680" w:type="dxa"/>
            <w:tcBorders>
              <w:top w:val="nil"/>
              <w:left w:val="nil"/>
              <w:bottom w:val="single" w:sz="4" w:space="0" w:color="auto"/>
              <w:right w:val="single" w:sz="4" w:space="0" w:color="auto"/>
            </w:tcBorders>
            <w:shd w:val="clear" w:color="auto" w:fill="auto"/>
            <w:noWrap/>
            <w:vAlign w:val="bottom"/>
            <w:hideMark/>
          </w:tcPr>
          <w:p w14:paraId="4B77F1C1"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5</w:t>
            </w:r>
          </w:p>
        </w:tc>
      </w:tr>
      <w:tr w:rsidR="00E41B87" w:rsidRPr="0014686F" w14:paraId="56FEF6D3"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493C71BE"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2EE4730C"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LPS</w:t>
            </w:r>
          </w:p>
        </w:tc>
        <w:tc>
          <w:tcPr>
            <w:tcW w:w="1020" w:type="dxa"/>
            <w:vMerge/>
            <w:tcBorders>
              <w:top w:val="nil"/>
              <w:left w:val="single" w:sz="4" w:space="0" w:color="auto"/>
              <w:bottom w:val="single" w:sz="4" w:space="0" w:color="auto"/>
              <w:right w:val="single" w:sz="4" w:space="0" w:color="auto"/>
            </w:tcBorders>
            <w:vAlign w:val="center"/>
            <w:hideMark/>
          </w:tcPr>
          <w:p w14:paraId="0D1E51DA" w14:textId="77777777" w:rsidR="00E41B87" w:rsidRPr="0014686F" w:rsidRDefault="00E41B87" w:rsidP="0014686F">
            <w:pPr>
              <w:rPr>
                <w:rFonts w:ascii="Arial" w:hAnsi="Arial" w:cs="Arial"/>
                <w:color w:val="000000" w:themeColor="text1"/>
              </w:rPr>
            </w:pPr>
          </w:p>
        </w:tc>
        <w:tc>
          <w:tcPr>
            <w:tcW w:w="680" w:type="dxa"/>
            <w:tcBorders>
              <w:top w:val="nil"/>
              <w:left w:val="nil"/>
              <w:bottom w:val="single" w:sz="4" w:space="0" w:color="auto"/>
              <w:right w:val="single" w:sz="4" w:space="0" w:color="auto"/>
            </w:tcBorders>
            <w:shd w:val="clear" w:color="auto" w:fill="auto"/>
            <w:noWrap/>
            <w:vAlign w:val="bottom"/>
            <w:hideMark/>
          </w:tcPr>
          <w:p w14:paraId="5F36DE67"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5</w:t>
            </w:r>
          </w:p>
        </w:tc>
      </w:tr>
      <w:tr w:rsidR="00E41B87" w:rsidRPr="0014686F" w14:paraId="104852A9"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0E4FDB97"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28A7E8A7"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Sham</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C951C5E"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TB-peptide</w:t>
            </w:r>
          </w:p>
        </w:tc>
        <w:tc>
          <w:tcPr>
            <w:tcW w:w="680" w:type="dxa"/>
            <w:tcBorders>
              <w:top w:val="nil"/>
              <w:left w:val="nil"/>
              <w:bottom w:val="single" w:sz="4" w:space="0" w:color="auto"/>
              <w:right w:val="single" w:sz="4" w:space="0" w:color="auto"/>
            </w:tcBorders>
            <w:shd w:val="clear" w:color="auto" w:fill="auto"/>
            <w:noWrap/>
            <w:vAlign w:val="bottom"/>
            <w:hideMark/>
          </w:tcPr>
          <w:p w14:paraId="0F6E29DA"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4</w:t>
            </w:r>
          </w:p>
        </w:tc>
      </w:tr>
      <w:tr w:rsidR="00E41B87" w:rsidRPr="0014686F" w14:paraId="3CC13087"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4197D54B"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78DE650D"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LPS</w:t>
            </w:r>
          </w:p>
        </w:tc>
        <w:tc>
          <w:tcPr>
            <w:tcW w:w="1020" w:type="dxa"/>
            <w:vMerge/>
            <w:tcBorders>
              <w:top w:val="nil"/>
              <w:left w:val="single" w:sz="4" w:space="0" w:color="auto"/>
              <w:bottom w:val="single" w:sz="4" w:space="0" w:color="auto"/>
              <w:right w:val="single" w:sz="4" w:space="0" w:color="auto"/>
            </w:tcBorders>
            <w:vAlign w:val="center"/>
            <w:hideMark/>
          </w:tcPr>
          <w:p w14:paraId="06D79684" w14:textId="77777777" w:rsidR="00E41B87" w:rsidRPr="0014686F" w:rsidRDefault="00E41B87" w:rsidP="0014686F">
            <w:pPr>
              <w:rPr>
                <w:rFonts w:ascii="Arial" w:hAnsi="Arial" w:cs="Arial"/>
                <w:color w:val="000000" w:themeColor="text1"/>
              </w:rPr>
            </w:pPr>
          </w:p>
        </w:tc>
        <w:tc>
          <w:tcPr>
            <w:tcW w:w="680" w:type="dxa"/>
            <w:tcBorders>
              <w:top w:val="nil"/>
              <w:left w:val="nil"/>
              <w:bottom w:val="single" w:sz="4" w:space="0" w:color="auto"/>
              <w:right w:val="single" w:sz="4" w:space="0" w:color="auto"/>
            </w:tcBorders>
            <w:shd w:val="clear" w:color="auto" w:fill="auto"/>
            <w:noWrap/>
            <w:vAlign w:val="bottom"/>
            <w:hideMark/>
          </w:tcPr>
          <w:p w14:paraId="17B603EC"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5</w:t>
            </w:r>
          </w:p>
        </w:tc>
      </w:tr>
      <w:tr w:rsidR="00E41B87" w:rsidRPr="0014686F" w14:paraId="64C0F09A" w14:textId="77777777" w:rsidTr="002A0C40">
        <w:trPr>
          <w:trHeight w:val="320"/>
        </w:trPr>
        <w:tc>
          <w:tcPr>
            <w:tcW w:w="17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6F82EF" w14:textId="77777777" w:rsidR="00E41B87" w:rsidRPr="0014686F" w:rsidRDefault="00E41B87" w:rsidP="0014686F">
            <w:pPr>
              <w:jc w:val="center"/>
              <w:rPr>
                <w:rFonts w:ascii="Arial" w:hAnsi="Arial" w:cs="Arial"/>
                <w:b/>
                <w:bCs/>
                <w:color w:val="000000" w:themeColor="text1"/>
              </w:rPr>
            </w:pPr>
            <w:r w:rsidRPr="0014686F">
              <w:rPr>
                <w:rFonts w:ascii="Arial" w:hAnsi="Arial" w:cs="Arial"/>
                <w:b/>
                <w:bCs/>
                <w:color w:val="000000" w:themeColor="text1"/>
              </w:rPr>
              <w:t>Young 10-Week</w:t>
            </w:r>
          </w:p>
        </w:tc>
        <w:tc>
          <w:tcPr>
            <w:tcW w:w="1180" w:type="dxa"/>
            <w:tcBorders>
              <w:top w:val="nil"/>
              <w:left w:val="nil"/>
              <w:bottom w:val="single" w:sz="4" w:space="0" w:color="auto"/>
              <w:right w:val="single" w:sz="4" w:space="0" w:color="auto"/>
            </w:tcBorders>
            <w:shd w:val="clear" w:color="auto" w:fill="auto"/>
            <w:noWrap/>
            <w:vAlign w:val="bottom"/>
            <w:hideMark/>
          </w:tcPr>
          <w:p w14:paraId="02FEE724"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Sham</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F5FB2A"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None</w:t>
            </w:r>
          </w:p>
        </w:tc>
        <w:tc>
          <w:tcPr>
            <w:tcW w:w="680" w:type="dxa"/>
            <w:tcBorders>
              <w:top w:val="nil"/>
              <w:left w:val="nil"/>
              <w:bottom w:val="single" w:sz="4" w:space="0" w:color="auto"/>
              <w:right w:val="single" w:sz="4" w:space="0" w:color="auto"/>
            </w:tcBorders>
            <w:shd w:val="clear" w:color="auto" w:fill="auto"/>
            <w:noWrap/>
            <w:vAlign w:val="bottom"/>
            <w:hideMark/>
          </w:tcPr>
          <w:p w14:paraId="02B13EC0"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6</w:t>
            </w:r>
          </w:p>
        </w:tc>
      </w:tr>
      <w:tr w:rsidR="00E41B87" w:rsidRPr="0014686F" w14:paraId="08E1AEBB"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58DB42FA"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6EA56482"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LPS</w:t>
            </w:r>
          </w:p>
        </w:tc>
        <w:tc>
          <w:tcPr>
            <w:tcW w:w="1020" w:type="dxa"/>
            <w:vMerge/>
            <w:tcBorders>
              <w:top w:val="nil"/>
              <w:left w:val="single" w:sz="4" w:space="0" w:color="auto"/>
              <w:bottom w:val="single" w:sz="4" w:space="0" w:color="auto"/>
              <w:right w:val="single" w:sz="4" w:space="0" w:color="auto"/>
            </w:tcBorders>
            <w:vAlign w:val="center"/>
            <w:hideMark/>
          </w:tcPr>
          <w:p w14:paraId="5A0DBA73" w14:textId="77777777" w:rsidR="00E41B87" w:rsidRPr="0014686F" w:rsidRDefault="00E41B87" w:rsidP="0014686F">
            <w:pPr>
              <w:rPr>
                <w:rFonts w:ascii="Arial" w:hAnsi="Arial" w:cs="Arial"/>
                <w:color w:val="000000" w:themeColor="text1"/>
              </w:rPr>
            </w:pPr>
          </w:p>
        </w:tc>
        <w:tc>
          <w:tcPr>
            <w:tcW w:w="680" w:type="dxa"/>
            <w:tcBorders>
              <w:top w:val="nil"/>
              <w:left w:val="nil"/>
              <w:bottom w:val="single" w:sz="4" w:space="0" w:color="auto"/>
              <w:right w:val="single" w:sz="4" w:space="0" w:color="auto"/>
            </w:tcBorders>
            <w:shd w:val="clear" w:color="auto" w:fill="auto"/>
            <w:noWrap/>
            <w:vAlign w:val="bottom"/>
            <w:hideMark/>
          </w:tcPr>
          <w:p w14:paraId="5BB6A4EB"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6</w:t>
            </w:r>
          </w:p>
        </w:tc>
      </w:tr>
      <w:tr w:rsidR="00E41B87" w:rsidRPr="0014686F" w14:paraId="3707A0FD"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54F8E9DD"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6C30AA62"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Sham</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2056F69"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TB-peptide</w:t>
            </w:r>
          </w:p>
        </w:tc>
        <w:tc>
          <w:tcPr>
            <w:tcW w:w="680" w:type="dxa"/>
            <w:tcBorders>
              <w:top w:val="nil"/>
              <w:left w:val="nil"/>
              <w:bottom w:val="single" w:sz="4" w:space="0" w:color="auto"/>
              <w:right w:val="single" w:sz="4" w:space="0" w:color="auto"/>
            </w:tcBorders>
            <w:shd w:val="clear" w:color="auto" w:fill="auto"/>
            <w:noWrap/>
            <w:vAlign w:val="bottom"/>
            <w:hideMark/>
          </w:tcPr>
          <w:p w14:paraId="458FC1B9"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6</w:t>
            </w:r>
          </w:p>
        </w:tc>
      </w:tr>
      <w:tr w:rsidR="00E41B87" w:rsidRPr="0014686F" w14:paraId="50A03812" w14:textId="77777777" w:rsidTr="002A0C40">
        <w:trPr>
          <w:trHeight w:val="320"/>
        </w:trPr>
        <w:tc>
          <w:tcPr>
            <w:tcW w:w="1780" w:type="dxa"/>
            <w:vMerge/>
            <w:tcBorders>
              <w:top w:val="nil"/>
              <w:left w:val="single" w:sz="4" w:space="0" w:color="auto"/>
              <w:bottom w:val="single" w:sz="4" w:space="0" w:color="auto"/>
              <w:right w:val="single" w:sz="4" w:space="0" w:color="auto"/>
            </w:tcBorders>
            <w:vAlign w:val="center"/>
            <w:hideMark/>
          </w:tcPr>
          <w:p w14:paraId="3AB7C807" w14:textId="77777777" w:rsidR="00E41B87" w:rsidRPr="0014686F" w:rsidRDefault="00E41B87" w:rsidP="0014686F">
            <w:pPr>
              <w:rPr>
                <w:rFonts w:ascii="Arial" w:hAnsi="Arial" w:cs="Arial"/>
                <w:b/>
                <w:bCs/>
                <w:color w:val="000000" w:themeColor="text1"/>
              </w:rPr>
            </w:pPr>
          </w:p>
        </w:tc>
        <w:tc>
          <w:tcPr>
            <w:tcW w:w="1180" w:type="dxa"/>
            <w:tcBorders>
              <w:top w:val="nil"/>
              <w:left w:val="nil"/>
              <w:bottom w:val="single" w:sz="4" w:space="0" w:color="auto"/>
              <w:right w:val="single" w:sz="4" w:space="0" w:color="auto"/>
            </w:tcBorders>
            <w:shd w:val="clear" w:color="auto" w:fill="auto"/>
            <w:noWrap/>
            <w:vAlign w:val="bottom"/>
            <w:hideMark/>
          </w:tcPr>
          <w:p w14:paraId="37817E46"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LPS</w:t>
            </w:r>
          </w:p>
        </w:tc>
        <w:tc>
          <w:tcPr>
            <w:tcW w:w="1020" w:type="dxa"/>
            <w:vMerge/>
            <w:tcBorders>
              <w:top w:val="nil"/>
              <w:left w:val="single" w:sz="4" w:space="0" w:color="auto"/>
              <w:bottom w:val="single" w:sz="4" w:space="0" w:color="auto"/>
              <w:right w:val="single" w:sz="4" w:space="0" w:color="auto"/>
            </w:tcBorders>
            <w:vAlign w:val="center"/>
            <w:hideMark/>
          </w:tcPr>
          <w:p w14:paraId="7DD61313" w14:textId="77777777" w:rsidR="00E41B87" w:rsidRPr="0014686F" w:rsidRDefault="00E41B87" w:rsidP="0014686F">
            <w:pPr>
              <w:rPr>
                <w:rFonts w:ascii="Arial" w:hAnsi="Arial" w:cs="Arial"/>
                <w:color w:val="000000" w:themeColor="text1"/>
              </w:rPr>
            </w:pPr>
          </w:p>
        </w:tc>
        <w:tc>
          <w:tcPr>
            <w:tcW w:w="680" w:type="dxa"/>
            <w:tcBorders>
              <w:top w:val="nil"/>
              <w:left w:val="nil"/>
              <w:bottom w:val="single" w:sz="4" w:space="0" w:color="auto"/>
              <w:right w:val="single" w:sz="4" w:space="0" w:color="auto"/>
            </w:tcBorders>
            <w:shd w:val="clear" w:color="auto" w:fill="auto"/>
            <w:noWrap/>
            <w:vAlign w:val="bottom"/>
            <w:hideMark/>
          </w:tcPr>
          <w:p w14:paraId="18A6C354" w14:textId="77777777" w:rsidR="00E41B87" w:rsidRPr="0014686F" w:rsidRDefault="00E41B87" w:rsidP="0014686F">
            <w:pPr>
              <w:jc w:val="center"/>
              <w:rPr>
                <w:rFonts w:ascii="Arial" w:hAnsi="Arial" w:cs="Arial"/>
                <w:color w:val="000000" w:themeColor="text1"/>
              </w:rPr>
            </w:pPr>
            <w:r w:rsidRPr="0014686F">
              <w:rPr>
                <w:rFonts w:ascii="Arial" w:hAnsi="Arial" w:cs="Arial"/>
                <w:color w:val="000000" w:themeColor="text1"/>
              </w:rPr>
              <w:t>6</w:t>
            </w:r>
          </w:p>
        </w:tc>
      </w:tr>
    </w:tbl>
    <w:p w14:paraId="0CF66297" w14:textId="48983B29" w:rsidR="00E41B87" w:rsidRPr="0014686F" w:rsidRDefault="00E41B87" w:rsidP="0014686F">
      <w:pPr>
        <w:rPr>
          <w:rFonts w:ascii="Arial" w:hAnsi="Arial" w:cs="Arial"/>
        </w:rPr>
      </w:pPr>
    </w:p>
    <w:p w14:paraId="1322790D" w14:textId="2C8AA371" w:rsidR="0014686F" w:rsidRPr="0014686F" w:rsidRDefault="0014686F" w:rsidP="0014686F">
      <w:pPr>
        <w:rPr>
          <w:rFonts w:ascii="Arial" w:hAnsi="Arial" w:cs="Arial"/>
        </w:rPr>
      </w:pPr>
    </w:p>
    <w:p w14:paraId="4F8B8EE4" w14:textId="38A302F0" w:rsidR="0014686F" w:rsidRPr="0014686F" w:rsidRDefault="0014686F" w:rsidP="0014686F">
      <w:pPr>
        <w:rPr>
          <w:rFonts w:ascii="Arial" w:hAnsi="Arial" w:cs="Arial"/>
          <w:color w:val="000000" w:themeColor="text1"/>
        </w:rPr>
      </w:pPr>
      <w:r w:rsidRPr="0014686F">
        <w:rPr>
          <w:rFonts w:ascii="Arial" w:hAnsi="Arial" w:cs="Arial"/>
          <w:b/>
          <w:bCs/>
          <w:color w:val="000000" w:themeColor="text1"/>
        </w:rPr>
        <w:t xml:space="preserve">Targeted LC-MS metabolite analysis </w:t>
      </w:r>
      <w:r w:rsidRPr="0014686F">
        <w:rPr>
          <w:rFonts w:ascii="Arial" w:hAnsi="Arial" w:cs="Arial"/>
          <w:b/>
          <w:i/>
          <w:color w:val="000000" w:themeColor="text1"/>
        </w:rPr>
        <w:t>–</w:t>
      </w:r>
      <w:r w:rsidRPr="0014686F">
        <w:rPr>
          <w:rFonts w:ascii="Arial" w:hAnsi="Arial" w:cs="Arial"/>
          <w:b/>
          <w:iCs/>
          <w:color w:val="000000" w:themeColor="text1"/>
        </w:rPr>
        <w:t xml:space="preserve"> </w:t>
      </w:r>
      <w:r w:rsidRPr="0014686F">
        <w:rPr>
          <w:rFonts w:ascii="Arial" w:hAnsi="Arial" w:cs="Arial"/>
          <w:bCs/>
          <w:iCs/>
          <w:color w:val="000000" w:themeColor="text1"/>
          <w:u w:val="single"/>
        </w:rPr>
        <w:t xml:space="preserve">(1) </w:t>
      </w:r>
      <w:r w:rsidRPr="0014686F">
        <w:rPr>
          <w:rFonts w:ascii="Arial" w:hAnsi="Arial" w:cs="Arial"/>
          <w:bCs/>
          <w:color w:val="000000" w:themeColor="text1"/>
          <w:u w:val="single"/>
        </w:rPr>
        <w:t xml:space="preserve">Sample </w:t>
      </w:r>
      <w:r w:rsidRPr="0014686F">
        <w:rPr>
          <w:rFonts w:ascii="Arial" w:hAnsi="Arial" w:cs="Arial"/>
          <w:bCs/>
          <w:iCs/>
          <w:color w:val="000000" w:themeColor="text1"/>
          <w:u w:val="single"/>
        </w:rPr>
        <w:t>preparation:</w:t>
      </w:r>
      <w:r w:rsidRPr="0014686F">
        <w:rPr>
          <w:rFonts w:ascii="Arial" w:hAnsi="Arial" w:cs="Arial"/>
          <w:bCs/>
          <w:iCs/>
          <w:color w:val="000000" w:themeColor="text1"/>
        </w:rPr>
        <w:t xml:space="preserve"> aqueous</w:t>
      </w:r>
      <w:r w:rsidRPr="0014686F">
        <w:rPr>
          <w:rFonts w:ascii="Arial" w:hAnsi="Arial" w:cs="Arial"/>
          <w:color w:val="000000" w:themeColor="text1"/>
        </w:rPr>
        <w:t xml:space="preserve"> metabolites were extracted using a methanol-based protein precipitation method as described previously. Briefly, heart tissue samples were homogenized in cold water using zirconium oxide beads, methanol was added, and samples were vortexed and then stored for 30 minutes at -20˚C. Afterwards, samples were first sonicated in an ice bath for 10 minutes, centrifuged for 15 min at 18,000g and 4˚C, and then a fixed volume of supernatant was collected from each sample. Lastly, recovered supernatants were dried on a </w:t>
      </w:r>
      <w:proofErr w:type="spellStart"/>
      <w:r w:rsidRPr="0014686F">
        <w:rPr>
          <w:rFonts w:ascii="Arial" w:hAnsi="Arial" w:cs="Arial"/>
          <w:color w:val="000000" w:themeColor="text1"/>
        </w:rPr>
        <w:t>SpeedVac</w:t>
      </w:r>
      <w:proofErr w:type="spellEnd"/>
      <w:r w:rsidRPr="0014686F">
        <w:rPr>
          <w:rFonts w:ascii="Arial" w:hAnsi="Arial" w:cs="Arial"/>
          <w:color w:val="000000" w:themeColor="text1"/>
        </w:rPr>
        <w:t xml:space="preserve"> and reconstituted for LC-MS analysis. Protein pallets that were left over from the sample prep were saved for BCA assay. </w:t>
      </w:r>
      <w:r w:rsidRPr="0014686F">
        <w:rPr>
          <w:rFonts w:ascii="Arial" w:hAnsi="Arial" w:cs="Arial"/>
          <w:bCs/>
          <w:iCs/>
          <w:color w:val="000000" w:themeColor="text1"/>
          <w:u w:val="single"/>
        </w:rPr>
        <w:t xml:space="preserve">(2) </w:t>
      </w:r>
      <w:r w:rsidRPr="0014686F">
        <w:rPr>
          <w:rFonts w:ascii="Arial" w:hAnsi="Arial" w:cs="Arial"/>
          <w:bCs/>
          <w:color w:val="000000" w:themeColor="text1"/>
          <w:u w:val="single"/>
        </w:rPr>
        <w:t>LC-MS analysis:</w:t>
      </w:r>
      <w:r w:rsidRPr="0014686F">
        <w:rPr>
          <w:rFonts w:ascii="Arial" w:hAnsi="Arial" w:cs="Arial"/>
          <w:bCs/>
          <w:color w:val="000000" w:themeColor="text1"/>
        </w:rPr>
        <w:t xml:space="preserve"> samples were analyzed </w:t>
      </w:r>
      <w:r w:rsidRPr="0014686F">
        <w:rPr>
          <w:rFonts w:ascii="Arial" w:hAnsi="Arial" w:cs="Arial"/>
          <w:color w:val="000000" w:themeColor="text1"/>
        </w:rPr>
        <w:t>on a duplex-LC-MS system composed of two Shimadzu UPLC pumps, CTC Analytics PAL HTC-</w:t>
      </w:r>
      <w:proofErr w:type="spellStart"/>
      <w:r w:rsidRPr="0014686F">
        <w:rPr>
          <w:rFonts w:ascii="Arial" w:hAnsi="Arial" w:cs="Arial"/>
          <w:color w:val="000000" w:themeColor="text1"/>
        </w:rPr>
        <w:t>xt</w:t>
      </w:r>
      <w:proofErr w:type="spellEnd"/>
      <w:r w:rsidRPr="0014686F">
        <w:rPr>
          <w:rFonts w:ascii="Arial" w:hAnsi="Arial" w:cs="Arial"/>
          <w:color w:val="000000" w:themeColor="text1"/>
        </w:rPr>
        <w:t xml:space="preserve"> temperature-controlled auto-sampler and ABI </w:t>
      </w:r>
      <w:proofErr w:type="spellStart"/>
      <w:r w:rsidRPr="0014686F">
        <w:rPr>
          <w:rFonts w:ascii="Arial" w:hAnsi="Arial" w:cs="Arial"/>
          <w:color w:val="000000" w:themeColor="text1"/>
        </w:rPr>
        <w:t>Sciex</w:t>
      </w:r>
      <w:proofErr w:type="spellEnd"/>
      <w:r w:rsidRPr="0014686F">
        <w:rPr>
          <w:rFonts w:ascii="Arial" w:hAnsi="Arial" w:cs="Arial"/>
          <w:color w:val="000000" w:themeColor="text1"/>
        </w:rPr>
        <w:t xml:space="preserve"> 6500+ Triple Quadrupole MS equipped with ESI ionization source. UPLC pumps were connected to the auto-sampler in parallel and were able to perform two chromatography separations independently from each other. Each sample was injected twice on two identical analytical columns (Waters </w:t>
      </w:r>
      <w:proofErr w:type="spellStart"/>
      <w:r w:rsidRPr="0014686F">
        <w:rPr>
          <w:rFonts w:ascii="Arial" w:hAnsi="Arial" w:cs="Arial"/>
          <w:color w:val="000000" w:themeColor="text1"/>
        </w:rPr>
        <w:t>XBridge</w:t>
      </w:r>
      <w:proofErr w:type="spellEnd"/>
      <w:r w:rsidRPr="0014686F">
        <w:rPr>
          <w:rFonts w:ascii="Arial" w:hAnsi="Arial" w:cs="Arial"/>
          <w:color w:val="000000" w:themeColor="text1"/>
        </w:rPr>
        <w:t xml:space="preserve"> BEH Amide XP) performing separations in hydrophilic interaction liquid chromatography (HILIC) mode. While one column was performing separation and MS data acquisition in </w:t>
      </w:r>
      <w:proofErr w:type="gramStart"/>
      <w:r w:rsidRPr="0014686F">
        <w:rPr>
          <w:rFonts w:ascii="Arial" w:hAnsi="Arial" w:cs="Arial"/>
          <w:color w:val="000000" w:themeColor="text1"/>
        </w:rPr>
        <w:t>ESI(</w:t>
      </w:r>
      <w:proofErr w:type="gramEnd"/>
      <w:r w:rsidRPr="0014686F">
        <w:rPr>
          <w:rFonts w:ascii="Arial" w:hAnsi="Arial" w:cs="Arial"/>
          <w:color w:val="000000" w:themeColor="text1"/>
        </w:rPr>
        <w:t xml:space="preserve">+) ionization mode, the other column was getting equilibrated for sample injection, chromatography separation and MS data acquisition in ESI(-) mode. Each chromatography separation was 18 minutes (total analysis time per sample was 36 minutes). </w:t>
      </w:r>
      <w:r w:rsidRPr="0014686F">
        <w:rPr>
          <w:rFonts w:ascii="Arial" w:hAnsi="Arial" w:cs="Arial"/>
          <w:color w:val="000000" w:themeColor="text1"/>
          <w:u w:val="single"/>
        </w:rPr>
        <w:t xml:space="preserve">(3) Data acquisition: </w:t>
      </w:r>
      <w:r w:rsidRPr="0014686F">
        <w:rPr>
          <w:rFonts w:ascii="Arial" w:hAnsi="Arial" w:cs="Arial"/>
          <w:color w:val="000000" w:themeColor="text1"/>
        </w:rPr>
        <w:t xml:space="preserve">MS data acquisition was performed in multiple-reaction-monitoring (MRM) mode. The whole LC-MS system was controlled using AB </w:t>
      </w:r>
      <w:proofErr w:type="spellStart"/>
      <w:r w:rsidRPr="0014686F">
        <w:rPr>
          <w:rFonts w:ascii="Arial" w:hAnsi="Arial" w:cs="Arial"/>
          <w:color w:val="000000" w:themeColor="text1"/>
        </w:rPr>
        <w:t>Sciex</w:t>
      </w:r>
      <w:proofErr w:type="spellEnd"/>
      <w:r w:rsidRPr="0014686F">
        <w:rPr>
          <w:rFonts w:ascii="Arial" w:hAnsi="Arial" w:cs="Arial"/>
          <w:color w:val="000000" w:themeColor="text1"/>
        </w:rPr>
        <w:t xml:space="preserve"> Analyst 1.6.3 software. Measured MS peaks were integrated using AB </w:t>
      </w:r>
      <w:proofErr w:type="spellStart"/>
      <w:r w:rsidRPr="0014686F">
        <w:rPr>
          <w:rFonts w:ascii="Arial" w:hAnsi="Arial" w:cs="Arial"/>
          <w:color w:val="000000" w:themeColor="text1"/>
        </w:rPr>
        <w:t>Sciex</w:t>
      </w:r>
      <w:proofErr w:type="spellEnd"/>
      <w:r w:rsidRPr="0014686F">
        <w:rPr>
          <w:rFonts w:ascii="Arial" w:hAnsi="Arial" w:cs="Arial"/>
          <w:color w:val="000000" w:themeColor="text1"/>
        </w:rPr>
        <w:t xml:space="preserve"> </w:t>
      </w:r>
      <w:proofErr w:type="spellStart"/>
      <w:r w:rsidRPr="0014686F">
        <w:rPr>
          <w:rFonts w:ascii="Arial" w:hAnsi="Arial" w:cs="Arial"/>
          <w:color w:val="000000" w:themeColor="text1"/>
        </w:rPr>
        <w:t>MultiQuant</w:t>
      </w:r>
      <w:proofErr w:type="spellEnd"/>
      <w:r w:rsidRPr="0014686F">
        <w:rPr>
          <w:rFonts w:ascii="Arial" w:hAnsi="Arial" w:cs="Arial"/>
          <w:color w:val="000000" w:themeColor="text1"/>
        </w:rPr>
        <w:t xml:space="preserve"> 3.0.3 software. In addition to the study samples, two sets of quality control (QC) samples were used to monitor the assay performance as well as data reproducibility. One QC was a pooled human serum sample used to monitor system performance and the other QC was pooled study samples and this QC was used to monitor data reproducibility. Isotope labeled compounds were used to monitor sample preparation and injection. Highly reproducible MS data were generated, having an average coefficient of variances (CVs) among the metabolites of 5.6%. Data for each sample were normalized according to </w:t>
      </w:r>
      <w:r w:rsidRPr="0014686F">
        <w:rPr>
          <w:rFonts w:ascii="Arial" w:hAnsi="Arial" w:cs="Arial"/>
          <w:color w:val="000000" w:themeColor="text1"/>
          <w:shd w:val="clear" w:color="auto" w:fill="FFFFFF"/>
        </w:rPr>
        <w:t>bicinchoninic acid (BCA)-based</w:t>
      </w:r>
      <w:r w:rsidRPr="0014686F">
        <w:rPr>
          <w:rFonts w:ascii="Arial" w:hAnsi="Arial" w:cs="Arial"/>
          <w:color w:val="000000" w:themeColor="text1"/>
        </w:rPr>
        <w:t xml:space="preserve"> quantification of total protein count. </w:t>
      </w:r>
    </w:p>
    <w:p w14:paraId="37F591E7" w14:textId="77777777" w:rsidR="0014686F" w:rsidRPr="0014686F" w:rsidRDefault="0014686F" w:rsidP="0014686F">
      <w:pPr>
        <w:rPr>
          <w:rFonts w:ascii="Arial" w:hAnsi="Arial" w:cs="Arial"/>
          <w:color w:val="000000" w:themeColor="text1"/>
        </w:rPr>
      </w:pPr>
    </w:p>
    <w:p w14:paraId="62EB12EC" w14:textId="60B47B37" w:rsidR="0014686F" w:rsidRPr="0014686F" w:rsidRDefault="0014686F" w:rsidP="0014686F">
      <w:pPr>
        <w:rPr>
          <w:rStyle w:val="defaultbold1"/>
          <w:b w:val="0"/>
          <w:bCs w:val="0"/>
          <w:color w:val="000000" w:themeColor="text1"/>
          <w:sz w:val="24"/>
          <w:szCs w:val="24"/>
        </w:rPr>
      </w:pPr>
      <w:r w:rsidRPr="0014686F">
        <w:rPr>
          <w:rFonts w:ascii="Arial" w:hAnsi="Arial" w:cs="Arial"/>
          <w:b/>
          <w:color w:val="000000" w:themeColor="text1"/>
        </w:rPr>
        <w:t>Biostatistical analysis of metabolomic data –</w:t>
      </w:r>
      <w:r w:rsidRPr="0014686F">
        <w:rPr>
          <w:rStyle w:val="defaultbold1"/>
          <w:color w:val="000000" w:themeColor="text1"/>
          <w:sz w:val="24"/>
          <w:szCs w:val="24"/>
        </w:rPr>
        <w:t xml:space="preserve"> </w:t>
      </w:r>
      <w:r w:rsidRPr="0014686F">
        <w:rPr>
          <w:rStyle w:val="defaultbold1"/>
          <w:b w:val="0"/>
          <w:bCs w:val="0"/>
          <w:color w:val="000000" w:themeColor="text1"/>
          <w:sz w:val="24"/>
          <w:szCs w:val="24"/>
        </w:rPr>
        <w:t xml:space="preserve">Analysis was carried out using R (version 4.0.2). The targeted metabolomics assay was designed to detect 361 metabolites and was conducted at the University of Washington (UW) Nathan Shock Center of Excellence in the Biology of Aging and the UW Northwest Metabolomics Research Center. A median normalization was performed to adjust the data so that samples had the same median value of the metabolite abundance post log2 </w:t>
      </w:r>
      <w:r w:rsidRPr="0014686F">
        <w:rPr>
          <w:rStyle w:val="defaultbold1"/>
          <w:b w:val="0"/>
          <w:bCs w:val="0"/>
          <w:color w:val="000000" w:themeColor="text1"/>
          <w:sz w:val="24"/>
          <w:szCs w:val="24"/>
        </w:rPr>
        <w:lastRenderedPageBreak/>
        <w:t xml:space="preserve">transformation. Only metabolites with &lt; 20% missingness and a coefficient of variation (CV) &lt; 20% in the pooled sample QC data were considered in further analysis.  Out of the possible 361 metabolites that the assay could detect, 161 metabolites passed these filtering criteria, which were included in the imputation step. We used a quantile regression approach for the imputation of left-censored missing data (QRILC), which has been suggested as the favored imputation method for left-censored MNAR data. This was implemented in the R </w:t>
      </w:r>
      <w:proofErr w:type="spellStart"/>
      <w:r w:rsidRPr="0014686F">
        <w:rPr>
          <w:rStyle w:val="defaultbold1"/>
          <w:b w:val="0"/>
          <w:bCs w:val="0"/>
          <w:color w:val="000000" w:themeColor="text1"/>
          <w:sz w:val="24"/>
          <w:szCs w:val="24"/>
        </w:rPr>
        <w:t>imputeLCMD</w:t>
      </w:r>
      <w:proofErr w:type="spellEnd"/>
      <w:r w:rsidRPr="0014686F">
        <w:rPr>
          <w:rStyle w:val="defaultbold1"/>
          <w:b w:val="0"/>
          <w:bCs w:val="0"/>
          <w:color w:val="000000" w:themeColor="text1"/>
          <w:sz w:val="24"/>
          <w:szCs w:val="24"/>
        </w:rPr>
        <w:t xml:space="preserve"> package.</w:t>
      </w:r>
    </w:p>
    <w:p w14:paraId="6F41D6ED" w14:textId="77777777" w:rsidR="0014686F" w:rsidRPr="0014686F" w:rsidRDefault="0014686F" w:rsidP="0014686F">
      <w:pPr>
        <w:rPr>
          <w:rStyle w:val="defaultbold1"/>
          <w:b w:val="0"/>
          <w:bCs w:val="0"/>
          <w:color w:val="000000" w:themeColor="text1"/>
          <w:sz w:val="24"/>
          <w:szCs w:val="24"/>
        </w:rPr>
      </w:pPr>
    </w:p>
    <w:p w14:paraId="5DACF6F9" w14:textId="79304FF3" w:rsidR="0014686F" w:rsidRPr="0014686F" w:rsidRDefault="0014686F" w:rsidP="0014686F">
      <w:pPr>
        <w:rPr>
          <w:rFonts w:ascii="Arial" w:hAnsi="Arial" w:cs="Arial"/>
        </w:rPr>
      </w:pPr>
      <w:r w:rsidRPr="0014686F">
        <w:rPr>
          <w:rFonts w:ascii="Arial" w:hAnsi="Arial" w:cs="Arial"/>
          <w:bCs/>
          <w:color w:val="000000" w:themeColor="text1"/>
        </w:rPr>
        <w:t xml:space="preserve">A linear model fit to the normalized metabolomic data using the Bioconductor </w:t>
      </w:r>
      <w:proofErr w:type="spellStart"/>
      <w:r w:rsidRPr="0014686F">
        <w:rPr>
          <w:rFonts w:ascii="Arial" w:hAnsi="Arial" w:cs="Arial"/>
          <w:bCs/>
          <w:color w:val="000000" w:themeColor="text1"/>
        </w:rPr>
        <w:t>limma</w:t>
      </w:r>
      <w:proofErr w:type="spellEnd"/>
      <w:r w:rsidRPr="0014686F">
        <w:rPr>
          <w:rFonts w:ascii="Arial" w:hAnsi="Arial" w:cs="Arial"/>
          <w:bCs/>
          <w:color w:val="000000" w:themeColor="text1"/>
        </w:rPr>
        <w:t xml:space="preserve"> package</w:t>
      </w:r>
      <w:r>
        <w:rPr>
          <w:rStyle w:val="apple-converted-space"/>
          <w:rFonts w:ascii="Arial" w:hAnsi="Arial" w:cs="Arial"/>
          <w:bCs/>
          <w:color w:val="000000" w:themeColor="text1"/>
        </w:rPr>
        <w:t xml:space="preserve"> </w:t>
      </w:r>
      <w:r w:rsidRPr="0014686F">
        <w:rPr>
          <w:rStyle w:val="apple-converted-space"/>
          <w:rFonts w:ascii="Arial" w:hAnsi="Arial" w:cs="Arial"/>
          <w:color w:val="000000" w:themeColor="text1"/>
        </w:rPr>
        <w:t xml:space="preserve">was used to </w:t>
      </w:r>
      <w:r w:rsidRPr="0014686F">
        <w:rPr>
          <w:rFonts w:ascii="Arial" w:hAnsi="Arial" w:cs="Arial"/>
          <w:bCs/>
          <w:color w:val="000000" w:themeColor="text1"/>
        </w:rPr>
        <w:t xml:space="preserve">examine the treatment group difference within the same age group. The </w:t>
      </w:r>
      <w:proofErr w:type="spellStart"/>
      <w:r w:rsidRPr="0014686F">
        <w:rPr>
          <w:rFonts w:ascii="Arial" w:hAnsi="Arial" w:cs="Arial"/>
          <w:bCs/>
          <w:color w:val="000000" w:themeColor="text1"/>
        </w:rPr>
        <w:t>limma</w:t>
      </w:r>
      <w:proofErr w:type="spellEnd"/>
      <w:r w:rsidRPr="0014686F">
        <w:rPr>
          <w:rFonts w:ascii="Arial" w:hAnsi="Arial" w:cs="Arial"/>
          <w:bCs/>
          <w:color w:val="000000" w:themeColor="text1"/>
        </w:rPr>
        <w:t xml:space="preserve"> package uses empirical Bayes moderated statistics, which improves power by ‘borrowing strength’ between metabolites to moderate the residual variance</w:t>
      </w:r>
      <w:r w:rsidRPr="0014686F">
        <w:rPr>
          <w:rFonts w:ascii="Arial" w:hAnsi="Arial" w:cs="Arial"/>
          <w:bCs/>
          <w:color w:val="000000" w:themeColor="text1"/>
        </w:rPr>
        <w:fldChar w:fldCharType="begin"/>
      </w:r>
      <w:r w:rsidRPr="0014686F">
        <w:rPr>
          <w:rFonts w:ascii="Arial" w:hAnsi="Arial" w:cs="Arial"/>
          <w:bCs/>
          <w:color w:val="000000" w:themeColor="text1"/>
        </w:rPr>
        <w:instrText xml:space="preserve"> ADDIN EN.CITE &lt;EndNote&gt;&lt;Cite&gt;&lt;Author&gt;Smyth&lt;/Author&gt;&lt;Year&gt;2004&lt;/Year&gt;&lt;RecNum&gt;111&lt;/RecNum&gt;&lt;DisplayText&gt;&lt;style face="superscript"&gt;31&lt;/style&gt;&lt;/DisplayText&gt;&lt;record&gt;&lt;rec-number&gt;111&lt;/rec-number&gt;&lt;foreign-keys&gt;&lt;key app="EN" db-id="xze9ffawrwrzzmev2smxxs5qdsx2d9wxv00d" timestamp="1641242619"&gt;111&lt;/key&gt;&lt;/foreign-keys&gt;&lt;ref-type name="Journal Article"&gt;17&lt;/ref-type&gt;&lt;contributors&gt;&lt;authors&gt;&lt;author&gt;Smyth, G. K.&lt;/author&gt;&lt;/authors&gt;&lt;/contributors&gt;&lt;auth-address&gt;Walter and Eliza Hall Institute. smyth@wehi.edu.au&lt;/auth-address&gt;&lt;titles&gt;&lt;title&gt;Linear models and empirical bayes methods for assessing differential expression in microarray experiments&lt;/title&gt;&lt;secondary-title&gt;Stat Appl Genet Mol Biol&lt;/secondary-title&gt;&lt;/titles&gt;&lt;periodical&gt;&lt;full-title&gt;Stat Appl Genet Mol Biol&lt;/full-title&gt;&lt;/periodical&gt;&lt;pages&gt;Article3&lt;/pages&gt;&lt;volume&gt;3&lt;/volume&gt;&lt;edition&gt;2006/05/02&lt;/edition&gt;&lt;dates&gt;&lt;year&gt;2004&lt;/year&gt;&lt;/dates&gt;&lt;isbn&gt;1544-6115 (Electronic)&amp;#xD;1544-6115 (Linking)&lt;/isbn&gt;&lt;accession-num&gt;16646809&lt;/accession-num&gt;&lt;urls&gt;&lt;related-urls&gt;&lt;url&gt;https://www.ncbi.nlm.nih.gov/pubmed/16646809&lt;/url&gt;&lt;/related-urls&gt;&lt;/urls&gt;&lt;electronic-resource-num&gt;10.2202/1544-6115.1027&lt;/electronic-resource-num&gt;&lt;/record&gt;&lt;/Cite&gt;&lt;/EndNote&gt;</w:instrText>
      </w:r>
      <w:r w:rsidRPr="0014686F">
        <w:rPr>
          <w:rFonts w:ascii="Arial" w:hAnsi="Arial" w:cs="Arial"/>
          <w:bCs/>
          <w:color w:val="000000" w:themeColor="text1"/>
        </w:rPr>
        <w:fldChar w:fldCharType="separate"/>
      </w:r>
      <w:r w:rsidRPr="0014686F">
        <w:rPr>
          <w:rFonts w:ascii="Arial" w:hAnsi="Arial" w:cs="Arial"/>
          <w:bCs/>
          <w:noProof/>
          <w:color w:val="000000" w:themeColor="text1"/>
          <w:vertAlign w:val="superscript"/>
        </w:rPr>
        <w:t>31</w:t>
      </w:r>
      <w:r w:rsidRPr="0014686F">
        <w:rPr>
          <w:rFonts w:ascii="Arial" w:hAnsi="Arial" w:cs="Arial"/>
          <w:bCs/>
          <w:color w:val="000000" w:themeColor="text1"/>
        </w:rPr>
        <w:fldChar w:fldCharType="end"/>
      </w:r>
      <w:r w:rsidRPr="0014686F">
        <w:rPr>
          <w:rFonts w:ascii="Arial" w:hAnsi="Arial" w:cs="Arial"/>
          <w:bCs/>
          <w:color w:val="000000" w:themeColor="text1"/>
        </w:rPr>
        <w:t xml:space="preserve">. Metabolites with a false discovery rate (FDR) of 10% were selected. 2-way or 3-way Venn diagrams were generated to identify common and unique metabolites among comparisons. Pathway analysis was performed by </w:t>
      </w:r>
      <w:r w:rsidRPr="0014686F">
        <w:rPr>
          <w:rFonts w:ascii="Arial" w:hAnsi="Arial" w:cs="Arial"/>
          <w:bCs/>
          <w:color w:val="000000" w:themeColor="text1"/>
          <w:shd w:val="clear" w:color="auto" w:fill="FFFFFF"/>
        </w:rPr>
        <w:t xml:space="preserve">using </w:t>
      </w:r>
      <w:r w:rsidRPr="0014686F">
        <w:rPr>
          <w:rFonts w:ascii="Arial" w:hAnsi="Arial" w:cs="Arial"/>
          <w:bCs/>
          <w:color w:val="000000" w:themeColor="text1"/>
        </w:rPr>
        <w:t xml:space="preserve">Shiny GAM (integrated analysis of genes and metabolites) </w:t>
      </w:r>
      <w:r w:rsidRPr="0014686F">
        <w:rPr>
          <w:rFonts w:ascii="Arial" w:hAnsi="Arial" w:cs="Arial"/>
          <w:color w:val="000000" w:themeColor="text1"/>
        </w:rPr>
        <w:t xml:space="preserve">and </w:t>
      </w:r>
      <w:proofErr w:type="spellStart"/>
      <w:r w:rsidRPr="0014686F">
        <w:rPr>
          <w:rFonts w:ascii="Arial" w:hAnsi="Arial" w:cs="Arial"/>
          <w:color w:val="000000" w:themeColor="text1"/>
        </w:rPr>
        <w:t>Cytoscape</w:t>
      </w:r>
      <w:proofErr w:type="spellEnd"/>
      <w:r w:rsidRPr="0014686F">
        <w:rPr>
          <w:rFonts w:ascii="Arial" w:hAnsi="Arial" w:cs="Arial"/>
          <w:color w:val="000000" w:themeColor="text1"/>
        </w:rPr>
        <w:t xml:space="preserve"> software. Signaling networks were built on pathway clustering against SMPDB (the small molecule pathway database) using </w:t>
      </w:r>
      <w:proofErr w:type="spellStart"/>
      <w:r w:rsidRPr="0014686F">
        <w:rPr>
          <w:rFonts w:ascii="Arial" w:hAnsi="Arial" w:cs="Arial"/>
          <w:color w:val="000000" w:themeColor="text1"/>
        </w:rPr>
        <w:t>MBRole</w:t>
      </w:r>
      <w:proofErr w:type="spellEnd"/>
      <w:r w:rsidRPr="0014686F">
        <w:rPr>
          <w:rFonts w:ascii="Arial" w:hAnsi="Arial" w:cs="Arial"/>
          <w:color w:val="000000" w:themeColor="text1"/>
        </w:rPr>
        <w:t xml:space="preserve"> 2.0 software.</w:t>
      </w:r>
    </w:p>
    <w:sectPr w:rsidR="0014686F" w:rsidRPr="00146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261"/>
    <w:rsid w:val="00003EB8"/>
    <w:rsid w:val="0000584E"/>
    <w:rsid w:val="000059EB"/>
    <w:rsid w:val="00011353"/>
    <w:rsid w:val="000261FB"/>
    <w:rsid w:val="00035DE8"/>
    <w:rsid w:val="000443F2"/>
    <w:rsid w:val="000445C4"/>
    <w:rsid w:val="000454BB"/>
    <w:rsid w:val="00073C65"/>
    <w:rsid w:val="00076299"/>
    <w:rsid w:val="00082263"/>
    <w:rsid w:val="000968FA"/>
    <w:rsid w:val="000B57E8"/>
    <w:rsid w:val="000C0D60"/>
    <w:rsid w:val="000C1381"/>
    <w:rsid w:val="000C32A6"/>
    <w:rsid w:val="000F77B9"/>
    <w:rsid w:val="00100B74"/>
    <w:rsid w:val="00100C4A"/>
    <w:rsid w:val="0011022D"/>
    <w:rsid w:val="00134378"/>
    <w:rsid w:val="001427B6"/>
    <w:rsid w:val="00143B0F"/>
    <w:rsid w:val="0014686F"/>
    <w:rsid w:val="0015102D"/>
    <w:rsid w:val="0015386B"/>
    <w:rsid w:val="001712AC"/>
    <w:rsid w:val="001A2D75"/>
    <w:rsid w:val="001C0AD2"/>
    <w:rsid w:val="001C60FE"/>
    <w:rsid w:val="001E155C"/>
    <w:rsid w:val="001E607B"/>
    <w:rsid w:val="001E7857"/>
    <w:rsid w:val="001F77BF"/>
    <w:rsid w:val="002004C7"/>
    <w:rsid w:val="0020190C"/>
    <w:rsid w:val="00202D6D"/>
    <w:rsid w:val="0022648E"/>
    <w:rsid w:val="002267F9"/>
    <w:rsid w:val="00231D03"/>
    <w:rsid w:val="00250D87"/>
    <w:rsid w:val="00254632"/>
    <w:rsid w:val="00255CB1"/>
    <w:rsid w:val="00270FBE"/>
    <w:rsid w:val="00272097"/>
    <w:rsid w:val="00272855"/>
    <w:rsid w:val="00272F92"/>
    <w:rsid w:val="00276145"/>
    <w:rsid w:val="00284B64"/>
    <w:rsid w:val="002918E5"/>
    <w:rsid w:val="00297F70"/>
    <w:rsid w:val="002A3F6D"/>
    <w:rsid w:val="002A60B2"/>
    <w:rsid w:val="002B244D"/>
    <w:rsid w:val="002B335D"/>
    <w:rsid w:val="002C67AF"/>
    <w:rsid w:val="002C6BE0"/>
    <w:rsid w:val="002D1E33"/>
    <w:rsid w:val="002D7128"/>
    <w:rsid w:val="002E4BC7"/>
    <w:rsid w:val="002F3504"/>
    <w:rsid w:val="002F60B9"/>
    <w:rsid w:val="003025CF"/>
    <w:rsid w:val="00310E3C"/>
    <w:rsid w:val="00321097"/>
    <w:rsid w:val="00324A2D"/>
    <w:rsid w:val="003274E0"/>
    <w:rsid w:val="00335BD6"/>
    <w:rsid w:val="00340C61"/>
    <w:rsid w:val="00354B44"/>
    <w:rsid w:val="00365810"/>
    <w:rsid w:val="003778D1"/>
    <w:rsid w:val="00383468"/>
    <w:rsid w:val="00383FA7"/>
    <w:rsid w:val="003B6395"/>
    <w:rsid w:val="003C4AA2"/>
    <w:rsid w:val="003C7F7E"/>
    <w:rsid w:val="003D02EF"/>
    <w:rsid w:val="003D71A8"/>
    <w:rsid w:val="003D7C93"/>
    <w:rsid w:val="003E4897"/>
    <w:rsid w:val="003E625D"/>
    <w:rsid w:val="00401DF7"/>
    <w:rsid w:val="00414A74"/>
    <w:rsid w:val="004217AE"/>
    <w:rsid w:val="00422172"/>
    <w:rsid w:val="00425879"/>
    <w:rsid w:val="00432D71"/>
    <w:rsid w:val="00446A9E"/>
    <w:rsid w:val="0044716B"/>
    <w:rsid w:val="004503F1"/>
    <w:rsid w:val="00453A0E"/>
    <w:rsid w:val="00462632"/>
    <w:rsid w:val="0046522D"/>
    <w:rsid w:val="0047068C"/>
    <w:rsid w:val="004749AE"/>
    <w:rsid w:val="00474EAE"/>
    <w:rsid w:val="00475AE1"/>
    <w:rsid w:val="00475F20"/>
    <w:rsid w:val="00480199"/>
    <w:rsid w:val="0048293A"/>
    <w:rsid w:val="00492193"/>
    <w:rsid w:val="004D0E66"/>
    <w:rsid w:val="004D3883"/>
    <w:rsid w:val="004D7980"/>
    <w:rsid w:val="004E075E"/>
    <w:rsid w:val="004E5F08"/>
    <w:rsid w:val="004E6722"/>
    <w:rsid w:val="004F020E"/>
    <w:rsid w:val="004F0FF2"/>
    <w:rsid w:val="004F391D"/>
    <w:rsid w:val="004F6ADD"/>
    <w:rsid w:val="00510412"/>
    <w:rsid w:val="005115D8"/>
    <w:rsid w:val="00520799"/>
    <w:rsid w:val="00532079"/>
    <w:rsid w:val="00532A97"/>
    <w:rsid w:val="005410EB"/>
    <w:rsid w:val="005707B4"/>
    <w:rsid w:val="00581E01"/>
    <w:rsid w:val="00582CB3"/>
    <w:rsid w:val="00597C48"/>
    <w:rsid w:val="005A040A"/>
    <w:rsid w:val="005A3E0A"/>
    <w:rsid w:val="005A79B9"/>
    <w:rsid w:val="005B690D"/>
    <w:rsid w:val="005F0209"/>
    <w:rsid w:val="005F3145"/>
    <w:rsid w:val="005F7671"/>
    <w:rsid w:val="00603605"/>
    <w:rsid w:val="006041E6"/>
    <w:rsid w:val="006163C3"/>
    <w:rsid w:val="00632EA5"/>
    <w:rsid w:val="006352A1"/>
    <w:rsid w:val="00640B48"/>
    <w:rsid w:val="006466CF"/>
    <w:rsid w:val="00661C30"/>
    <w:rsid w:val="00670452"/>
    <w:rsid w:val="006740B7"/>
    <w:rsid w:val="00683DF1"/>
    <w:rsid w:val="00695D9A"/>
    <w:rsid w:val="006A2581"/>
    <w:rsid w:val="006A5983"/>
    <w:rsid w:val="006B649D"/>
    <w:rsid w:val="006D47A5"/>
    <w:rsid w:val="006D7D60"/>
    <w:rsid w:val="006E6426"/>
    <w:rsid w:val="007150C9"/>
    <w:rsid w:val="00717185"/>
    <w:rsid w:val="00727100"/>
    <w:rsid w:val="007310DB"/>
    <w:rsid w:val="00762155"/>
    <w:rsid w:val="00763CB6"/>
    <w:rsid w:val="00770351"/>
    <w:rsid w:val="00774F1E"/>
    <w:rsid w:val="0078082C"/>
    <w:rsid w:val="00782D96"/>
    <w:rsid w:val="0078660D"/>
    <w:rsid w:val="007876AB"/>
    <w:rsid w:val="007B0C0D"/>
    <w:rsid w:val="007B26FA"/>
    <w:rsid w:val="007D7082"/>
    <w:rsid w:val="007E4789"/>
    <w:rsid w:val="007F4AC1"/>
    <w:rsid w:val="00806171"/>
    <w:rsid w:val="00807D4F"/>
    <w:rsid w:val="00807DE2"/>
    <w:rsid w:val="008134E8"/>
    <w:rsid w:val="00824DD3"/>
    <w:rsid w:val="00830AD6"/>
    <w:rsid w:val="0083683E"/>
    <w:rsid w:val="00857CBD"/>
    <w:rsid w:val="00863528"/>
    <w:rsid w:val="00873314"/>
    <w:rsid w:val="00873B4B"/>
    <w:rsid w:val="00874E18"/>
    <w:rsid w:val="00887DA2"/>
    <w:rsid w:val="008B1549"/>
    <w:rsid w:val="008B2297"/>
    <w:rsid w:val="008B518A"/>
    <w:rsid w:val="008B57CD"/>
    <w:rsid w:val="008C70ED"/>
    <w:rsid w:val="008D1321"/>
    <w:rsid w:val="008E0D69"/>
    <w:rsid w:val="008E30BA"/>
    <w:rsid w:val="008E4B65"/>
    <w:rsid w:val="008F50E8"/>
    <w:rsid w:val="00912AE1"/>
    <w:rsid w:val="0091705C"/>
    <w:rsid w:val="0092286B"/>
    <w:rsid w:val="00924CFB"/>
    <w:rsid w:val="0093027F"/>
    <w:rsid w:val="00931450"/>
    <w:rsid w:val="00934D62"/>
    <w:rsid w:val="00935741"/>
    <w:rsid w:val="00945311"/>
    <w:rsid w:val="00977A42"/>
    <w:rsid w:val="00991B6F"/>
    <w:rsid w:val="009952B7"/>
    <w:rsid w:val="009A2775"/>
    <w:rsid w:val="009B4335"/>
    <w:rsid w:val="009B4D92"/>
    <w:rsid w:val="009C0237"/>
    <w:rsid w:val="009C4CCC"/>
    <w:rsid w:val="009C6F88"/>
    <w:rsid w:val="009C7D90"/>
    <w:rsid w:val="009D223E"/>
    <w:rsid w:val="009D259E"/>
    <w:rsid w:val="009E2419"/>
    <w:rsid w:val="009F012D"/>
    <w:rsid w:val="009F0AC5"/>
    <w:rsid w:val="009F27B0"/>
    <w:rsid w:val="00A00A38"/>
    <w:rsid w:val="00A02353"/>
    <w:rsid w:val="00A24820"/>
    <w:rsid w:val="00A33A6B"/>
    <w:rsid w:val="00A40A91"/>
    <w:rsid w:val="00A558E4"/>
    <w:rsid w:val="00A55C3A"/>
    <w:rsid w:val="00AA0FAA"/>
    <w:rsid w:val="00AA1C12"/>
    <w:rsid w:val="00AA2CA1"/>
    <w:rsid w:val="00AB06D7"/>
    <w:rsid w:val="00AB1208"/>
    <w:rsid w:val="00AB2F79"/>
    <w:rsid w:val="00AB4BDB"/>
    <w:rsid w:val="00AC0261"/>
    <w:rsid w:val="00AC7CA2"/>
    <w:rsid w:val="00AD1CE6"/>
    <w:rsid w:val="00AD5F10"/>
    <w:rsid w:val="00AD662C"/>
    <w:rsid w:val="00AE11F6"/>
    <w:rsid w:val="00AE31F1"/>
    <w:rsid w:val="00AE4638"/>
    <w:rsid w:val="00AE5BD1"/>
    <w:rsid w:val="00AF751A"/>
    <w:rsid w:val="00B0147F"/>
    <w:rsid w:val="00B04F1E"/>
    <w:rsid w:val="00B21BB6"/>
    <w:rsid w:val="00B31905"/>
    <w:rsid w:val="00B31D8C"/>
    <w:rsid w:val="00B32C85"/>
    <w:rsid w:val="00B33795"/>
    <w:rsid w:val="00B43958"/>
    <w:rsid w:val="00B5687A"/>
    <w:rsid w:val="00B56908"/>
    <w:rsid w:val="00B70E83"/>
    <w:rsid w:val="00B7158A"/>
    <w:rsid w:val="00B833D8"/>
    <w:rsid w:val="00B93F14"/>
    <w:rsid w:val="00BB22A7"/>
    <w:rsid w:val="00BC0605"/>
    <w:rsid w:val="00BC161D"/>
    <w:rsid w:val="00BD0794"/>
    <w:rsid w:val="00BD7EB6"/>
    <w:rsid w:val="00BE2AF6"/>
    <w:rsid w:val="00BE44B5"/>
    <w:rsid w:val="00BF0FB6"/>
    <w:rsid w:val="00BF3AD0"/>
    <w:rsid w:val="00BF3ED9"/>
    <w:rsid w:val="00C03041"/>
    <w:rsid w:val="00C03FDA"/>
    <w:rsid w:val="00C1602F"/>
    <w:rsid w:val="00C55D4B"/>
    <w:rsid w:val="00C57EA2"/>
    <w:rsid w:val="00C703BB"/>
    <w:rsid w:val="00C75064"/>
    <w:rsid w:val="00C829A9"/>
    <w:rsid w:val="00C86401"/>
    <w:rsid w:val="00C86836"/>
    <w:rsid w:val="00C90DB0"/>
    <w:rsid w:val="00C977C3"/>
    <w:rsid w:val="00CA67D0"/>
    <w:rsid w:val="00CB3F9A"/>
    <w:rsid w:val="00CC1BA9"/>
    <w:rsid w:val="00CC1FD5"/>
    <w:rsid w:val="00CC2038"/>
    <w:rsid w:val="00CC31B1"/>
    <w:rsid w:val="00CD3D8D"/>
    <w:rsid w:val="00CD7292"/>
    <w:rsid w:val="00CE3F2F"/>
    <w:rsid w:val="00CE46DF"/>
    <w:rsid w:val="00CF0FBA"/>
    <w:rsid w:val="00CF4D1B"/>
    <w:rsid w:val="00CF7000"/>
    <w:rsid w:val="00D019BE"/>
    <w:rsid w:val="00D01BE7"/>
    <w:rsid w:val="00D1256D"/>
    <w:rsid w:val="00D14238"/>
    <w:rsid w:val="00D15378"/>
    <w:rsid w:val="00D36D2C"/>
    <w:rsid w:val="00D4253C"/>
    <w:rsid w:val="00D47B16"/>
    <w:rsid w:val="00D54B16"/>
    <w:rsid w:val="00D6006E"/>
    <w:rsid w:val="00D67F97"/>
    <w:rsid w:val="00D717BA"/>
    <w:rsid w:val="00D728E1"/>
    <w:rsid w:val="00D81669"/>
    <w:rsid w:val="00D819C5"/>
    <w:rsid w:val="00D8561F"/>
    <w:rsid w:val="00D97404"/>
    <w:rsid w:val="00DA0270"/>
    <w:rsid w:val="00DA15F3"/>
    <w:rsid w:val="00DA6103"/>
    <w:rsid w:val="00DC7A3F"/>
    <w:rsid w:val="00DE322F"/>
    <w:rsid w:val="00E11238"/>
    <w:rsid w:val="00E23B84"/>
    <w:rsid w:val="00E247A0"/>
    <w:rsid w:val="00E26314"/>
    <w:rsid w:val="00E2788E"/>
    <w:rsid w:val="00E35B87"/>
    <w:rsid w:val="00E41B87"/>
    <w:rsid w:val="00E47F09"/>
    <w:rsid w:val="00E6137E"/>
    <w:rsid w:val="00E62F79"/>
    <w:rsid w:val="00E73173"/>
    <w:rsid w:val="00E74FDD"/>
    <w:rsid w:val="00E75982"/>
    <w:rsid w:val="00E8581C"/>
    <w:rsid w:val="00E9709B"/>
    <w:rsid w:val="00EB57EA"/>
    <w:rsid w:val="00EC6306"/>
    <w:rsid w:val="00ED23E7"/>
    <w:rsid w:val="00EE0003"/>
    <w:rsid w:val="00EE0F9D"/>
    <w:rsid w:val="00EF2591"/>
    <w:rsid w:val="00EF3FF1"/>
    <w:rsid w:val="00EF46DF"/>
    <w:rsid w:val="00F009E0"/>
    <w:rsid w:val="00F067B6"/>
    <w:rsid w:val="00F130E7"/>
    <w:rsid w:val="00F14C52"/>
    <w:rsid w:val="00F166B0"/>
    <w:rsid w:val="00F24873"/>
    <w:rsid w:val="00F262A3"/>
    <w:rsid w:val="00F33345"/>
    <w:rsid w:val="00F419C9"/>
    <w:rsid w:val="00F5336B"/>
    <w:rsid w:val="00F60A74"/>
    <w:rsid w:val="00F61C3A"/>
    <w:rsid w:val="00F6287A"/>
    <w:rsid w:val="00F82339"/>
    <w:rsid w:val="00F85EF3"/>
    <w:rsid w:val="00F93C24"/>
    <w:rsid w:val="00FA1D39"/>
    <w:rsid w:val="00FB1552"/>
    <w:rsid w:val="00FB1835"/>
    <w:rsid w:val="00FB603E"/>
    <w:rsid w:val="00FE0440"/>
    <w:rsid w:val="00FF6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A1B8411"/>
  <w15:chartTrackingRefBased/>
  <w15:docId w15:val="{EB14C78B-EE77-7447-A16D-9E4C2833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261"/>
    <w:rPr>
      <w:rFonts w:ascii="Times New Roman" w:eastAsia="Times New Roman" w:hAnsi="Times New Roman" w:cs="Times New Roman"/>
    </w:rPr>
  </w:style>
  <w:style w:type="paragraph" w:styleId="Heading1">
    <w:name w:val="heading 1"/>
    <w:basedOn w:val="Normal"/>
    <w:link w:val="Heading1Char"/>
    <w:uiPriority w:val="9"/>
    <w:qFormat/>
    <w:rsid w:val="00AC0261"/>
    <w:pPr>
      <w:spacing w:before="100" w:beforeAutospacing="1" w:after="100" w:afterAutospacing="1"/>
      <w:outlineLvl w:val="0"/>
    </w:pPr>
    <w:rPr>
      <w:rFonts w:eastAsiaTheme="minorEastAsia"/>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261"/>
    <w:rPr>
      <w:rFonts w:ascii="Times New Roman" w:hAnsi="Times New Roman" w:cs="Times New Roman"/>
      <w:b/>
      <w:bCs/>
      <w:kern w:val="36"/>
      <w:sz w:val="48"/>
      <w:szCs w:val="48"/>
      <w:lang w:eastAsia="en-US"/>
    </w:rPr>
  </w:style>
  <w:style w:type="character" w:customStyle="1" w:styleId="defaultbold1">
    <w:name w:val="defaultbold1"/>
    <w:basedOn w:val="DefaultParagraphFont"/>
    <w:rsid w:val="00AC0261"/>
    <w:rPr>
      <w:rFonts w:ascii="Arial" w:hAnsi="Arial" w:cs="Arial" w:hint="default"/>
      <w:b/>
      <w:bCs/>
      <w:strike w:val="0"/>
      <w:dstrike w:val="0"/>
      <w:color w:val="000000"/>
      <w:sz w:val="17"/>
      <w:szCs w:val="17"/>
      <w:u w:val="none"/>
      <w:effect w:val="none"/>
    </w:rPr>
  </w:style>
  <w:style w:type="character" w:customStyle="1" w:styleId="apple-converted-space">
    <w:name w:val="apple-converted-space"/>
    <w:basedOn w:val="DefaultParagraphFont"/>
    <w:rsid w:val="00146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opics.sciencedirect.com/topics/page/Intraperitoneal_inj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1288</Words>
  <Characters>7343</Characters>
  <Application>Microsoft Office Word</Application>
  <DocSecurity>0</DocSecurity>
  <Lines>61</Lines>
  <Paragraphs>17</Paragraphs>
  <ScaleCrop>false</ScaleCrop>
  <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Zang, Qun</dc:creator>
  <cp:keywords/>
  <dc:description/>
  <cp:lastModifiedBy>Zang, Qun</cp:lastModifiedBy>
  <cp:revision>4</cp:revision>
  <dcterms:created xsi:type="dcterms:W3CDTF">2022-05-23T20:52:00Z</dcterms:created>
  <dcterms:modified xsi:type="dcterms:W3CDTF">2022-05-24T15:31:00Z</dcterms:modified>
</cp:coreProperties>
</file>