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tabs>
          <w:tab w:val="left" w:pos="360"/>
        </w:tabs>
        <w:spacing w:line="36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en-US"/>
        </w:rPr>
        <w:t>Supplemental Material, Table S1.</w:t>
      </w:r>
      <w:r>
        <w:rPr>
          <w:rFonts w:ascii="Times New Roman"/>
          <w:sz w:val="24"/>
          <w:szCs w:val="24"/>
          <w:rtl w:val="0"/>
        </w:rPr>
        <w:t xml:space="preserve"> </w:t>
      </w:r>
      <w:r>
        <w:rPr>
          <w:rFonts w:ascii="Times New Roman"/>
          <w:b w:val="1"/>
          <w:bCs w:val="1"/>
          <w:sz w:val="24"/>
          <w:szCs w:val="24"/>
          <w:vertAlign w:val="superscript"/>
          <w:rtl w:val="0"/>
        </w:rPr>
        <w:t>1</w:t>
      </w:r>
      <w:r>
        <w:rPr>
          <w:rFonts w:ascii="Times New Roman"/>
          <w:b w:val="1"/>
          <w:bCs w:val="1"/>
          <w:sz w:val="24"/>
          <w:szCs w:val="24"/>
          <w:rtl w:val="0"/>
          <w:lang w:val="en-US"/>
        </w:rPr>
        <w:t>H NMR chemical shifts for metabolites assigned in liver, fecal and cecal content extracts</w:t>
      </w:r>
    </w:p>
    <w:p>
      <w:pPr>
        <w:pStyle w:val="Body"/>
        <w:widowControl w:val="0"/>
        <w:tabs>
          <w:tab w:val="left" w:pos="360"/>
        </w:tabs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398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34"/>
        <w:gridCol w:w="2354"/>
        <w:gridCol w:w="3131"/>
        <w:gridCol w:w="3299"/>
        <w:gridCol w:w="1080"/>
      </w:tblGrid>
      <w:tr>
        <w:tblPrEx>
          <w:shd w:val="clear" w:color="auto" w:fill="auto"/>
        </w:tblPrEx>
        <w:trPr>
          <w:trHeight w:val="515" w:hRule="atLeast"/>
        </w:trPr>
        <w:tc>
          <w:tcPr>
            <w:tcW w:type="dxa" w:w="5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key </w:t>
            </w:r>
          </w:p>
        </w:tc>
        <w:tc>
          <w:tcPr>
            <w:tcW w:type="dxa" w:w="235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ind w:firstLine="220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metabolites </w:t>
            </w:r>
          </w:p>
        </w:tc>
        <w:tc>
          <w:tcPr>
            <w:tcW w:type="dxa" w:w="313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ind w:firstLine="660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moieties           </w:t>
            </w:r>
          </w:p>
        </w:tc>
        <w:tc>
          <w:tcPr>
            <w:tcW w:type="dxa" w:w="329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δ 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perscript"/>
                <w:rtl w:val="0"/>
                <w:lang w:val="en-US"/>
              </w:rPr>
              <w:t>1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H (ppm) and multiplicity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perscript"/>
                <w:rtl w:val="0"/>
                <w:lang w:val="en-US"/>
              </w:rPr>
              <w:t>a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Samples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perscript"/>
                <w:rtl w:val="0"/>
                <w:lang w:val="en-US"/>
              </w:rPr>
              <w:t>b</w:t>
            </w:r>
          </w:p>
        </w:tc>
      </w:tr>
      <w:tr>
        <w:tblPrEx>
          <w:shd w:val="clear" w:color="auto" w:fill="auto"/>
        </w:tblPrEx>
        <w:trPr>
          <w:trHeight w:val="710" w:hRule="atLeast"/>
        </w:trPr>
        <w:tc>
          <w:tcPr>
            <w:tcW w:type="dxa" w:w="534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</w:t>
            </w:r>
          </w:p>
        </w:tc>
        <w:tc>
          <w:tcPr>
            <w:tcW w:type="dxa" w:w="2354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Lipid</w:t>
            </w:r>
          </w:p>
        </w:tc>
        <w:tc>
          <w:tcPr>
            <w:tcW w:type="dxa" w:w="3131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, 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n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-C=C,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-C=O,C-CH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-C=,-CH=CH-</w:t>
            </w:r>
          </w:p>
        </w:tc>
        <w:tc>
          <w:tcPr>
            <w:tcW w:type="dxa" w:w="3299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0.89(m), 1.27(m), 2.0(m), 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2.3(m), 2.78(m), 5.3(m)</w:t>
            </w:r>
          </w:p>
        </w:tc>
        <w:tc>
          <w:tcPr>
            <w:tcW w:type="dxa" w:w="108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Isoleucine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      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3.65(d), 1.95(m), 0.99(t), 1.02(d)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  <w:tab w:val="left" w:pos="1980"/>
                <w:tab w:val="left" w:pos="540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Leucine                  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 xml:space="preserve">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0.94(d), 3.72(t), 1.96(m), 0.91(d)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Valine                   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3.6(d), 2.26(m), 0.98(d), 1.04(d)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D-3-hydroxybutyrate     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4.16(dt),2.41(dd),1.20(d),2.31(dd)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Lactate                        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4.11(q), 1.32(d)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Alanine                        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3.77(q), 1.48(d)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1654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10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11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Acetate 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n-butyrate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Propionate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Threonine                                          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1.91(s)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0.91(t), 1.56(m), 2.16(t)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1.06(t), 2.18(q)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1.33(d), 3.59(d), 4.26(m)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12                                   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Glutamate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2.08(m), 2.34(m), 3.75(m) 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13                                    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Glutamine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2.15(m), 2.44(m), 3.77(m)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  <w:tab w:val="left" w:pos="252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14                                                 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Glutathione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S-CH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N-CH, 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2.16(m), 2.55(m), 2.95(dd), 3.78(m), 4.56(q)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1180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15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16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L-arginine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L-proline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Creatine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1.72(m), 1.93(m), 3.77(m)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2.05(m), 2.34(m), 3.4(m)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3.03(s), 3.93(s)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18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Choline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3.2(s), 4.05(t), 3.51(t)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19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Phosphocholine (PC)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3.22(s), 4.21(t), 3.61(t)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20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Glycerophosphocholine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N(CH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)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OCH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NCH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3.22(s), 4.32(t), 3.68(t)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21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-Glucose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 xml:space="preserve">1-CH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de-DE"/>
              </w:rPr>
              <w:t>4.66(d)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22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-Glucose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1-CH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de-DE"/>
              </w:rPr>
              <w:t>5.23(d)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23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Unsaturated fatty acid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CH=CH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de-DE"/>
              </w:rPr>
              <w:t>2.73, 5.3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de-DE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24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TMAO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3.27(s)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25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Tyrosine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CH, 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6.89(dd), 7.18(dd)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26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Histidine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2-CH, 4-CH,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7.75(t), 7.08(d), 6.05(d)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Phenylalanine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Ring-CH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7.40(m), 7.33(m), 7.35(m)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L, F, C 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28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Formate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8.45(s)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29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Betaine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3.27(s), 3.93(s)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30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Glycogen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5.38-5.45(m)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31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Bile acid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pt-PT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0.73(m)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32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Lysine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3.76(t), 1.89(m), 1.72(m), 3.01(t)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33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N-acetyl aspartate 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2.01(s)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34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Oligosaccharides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 resonances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3.3-3.9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35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Succinate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2.41(s)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36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Taurine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N-CH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3.26(t), 3.40(t)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Glycine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3.57(s)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980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38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Inosine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14-CH, 1-CH, 8-CH, 4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fr-FR"/>
              </w:rPr>
              <w:t>’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 xml:space="preserve">-CH, 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5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fr-FR"/>
              </w:rPr>
              <w:t>’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(1/2),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(1/2)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8.34(s), 6.09(d), 8.22(s), 4.76(t),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4.47(m)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39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Uridine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11-CH, 7-CH, 12-CH, 6-CH, 5-CH, 4-CH,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de-DE"/>
              </w:rPr>
              <w:t>7.88(d), 5.92(d), 5.9(d), 4.36(m), 4.24(t)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fr-FR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40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Fumarate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6.53(s)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41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Nicotinurate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2-CH, 6-CH, 4-CH, 5-CH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8.93(s),8.62(d), 8.25(d),7.60(dd), 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42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Adenosine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14-CH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8.32(s)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C</w:t>
            </w:r>
          </w:p>
        </w:tc>
      </w:tr>
      <w:tr>
        <w:tblPrEx>
          <w:shd w:val="clear" w:color="auto" w:fill="auto"/>
        </w:tblPrEx>
        <w:trPr>
          <w:trHeight w:val="1654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43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44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45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46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Uracil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-galactose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-arabinose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-xylose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1-CH, 2-CH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1-CH, 2-CH, 3-CH 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1-CH, 2-CH 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1-CH, 2-CH, 3-CH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5.81(d), 7.54(d) 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5.28(d), 3.81(dd); 3.97(m)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5.21(d), 3.87(dd)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5.20(d), 3.53(dd), 3.68(m)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L, F, C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</w:t>
            </w:r>
          </w:p>
          <w:p>
            <w:pPr>
              <w:pStyle w:val="Body"/>
              <w:tabs>
                <w:tab w:val="left" w:pos="1440"/>
              </w:tabs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</w:t>
            </w:r>
          </w:p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Hypoxanthine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1-CH, 2-CH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8.20(s), 8.21(s)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505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48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Glucose &amp; amino acids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 resonances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3.3-3.9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L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49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Ethanol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, 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1.18(t), 3.65(q)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50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Pyruvate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2.38(s)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51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TMA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2.88(s)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52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Raffinose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1-CH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5.41(d)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53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Stachyose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pt-PT"/>
              </w:rPr>
              <w:t>1-CH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5.41(d)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54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Methanol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3.36 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55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Methionine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δ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3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2.14(s), 2.16(m), 2.65(t)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56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Urocanate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CHCOOH, CH(ring), 5CH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6.40(d), 7.31(d), 7.43(s)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1" w:hRule="atLeast"/>
        </w:trPr>
        <w:tc>
          <w:tcPr>
            <w:tcW w:type="dxa" w:w="5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57</w:t>
            </w:r>
          </w:p>
        </w:tc>
        <w:tc>
          <w:tcPr>
            <w:tcW w:type="dxa" w:w="23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Adenine</w:t>
            </w:r>
          </w:p>
        </w:tc>
        <w:tc>
          <w:tcPr>
            <w:tcW w:type="dxa" w:w="31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2CH, 6CH </w:t>
            </w:r>
          </w:p>
        </w:tc>
        <w:tc>
          <w:tcPr>
            <w:tcW w:type="dxa" w:w="329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8.19(s), 8.21(s)</w:t>
            </w:r>
          </w:p>
        </w:tc>
        <w:tc>
          <w:tcPr>
            <w:tcW w:type="dxa" w:w="108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  <w:tr>
        <w:tblPrEx>
          <w:shd w:val="clear" w:color="auto" w:fill="auto"/>
        </w:tblPrEx>
        <w:trPr>
          <w:trHeight w:val="236" w:hRule="atLeast"/>
        </w:trPr>
        <w:tc>
          <w:tcPr>
            <w:tcW w:type="dxa" w:w="534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58</w:t>
            </w:r>
          </w:p>
        </w:tc>
        <w:tc>
          <w:tcPr>
            <w:tcW w:type="dxa" w:w="2354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α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-ketoglutarate</w:t>
            </w:r>
          </w:p>
        </w:tc>
        <w:tc>
          <w:tcPr>
            <w:tcW w:type="dxa" w:w="3131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γ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, </w:t>
            </w:r>
            <w:r>
              <w:rPr>
                <w:rFonts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β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CH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subscript"/>
                <w:rtl w:val="0"/>
                <w:lang w:val="en-US"/>
              </w:rPr>
              <w:t>2</w:t>
            </w:r>
          </w:p>
        </w:tc>
        <w:tc>
          <w:tcPr>
            <w:tcW w:type="dxa" w:w="3299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2.45(t), 3.01(t)</w:t>
            </w:r>
          </w:p>
        </w:tc>
        <w:tc>
          <w:tcPr>
            <w:tcW w:type="dxa" w:w="108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tabs>
                <w:tab w:val="left" w:pos="1440"/>
              </w:tabs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F, C</w:t>
            </w:r>
          </w:p>
        </w:tc>
      </w:tr>
    </w:tbl>
    <w:p>
      <w:pPr>
        <w:pStyle w:val="Body"/>
        <w:widowControl w:val="0"/>
        <w:tabs>
          <w:tab w:val="left" w:pos="360"/>
        </w:tabs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tabs>
          <w:tab w:val="left" w:pos="1440"/>
        </w:tabs>
        <w:spacing w:line="30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vertAlign w:val="superscript"/>
          <w:rtl w:val="0"/>
        </w:rPr>
        <w:t xml:space="preserve">a </w:t>
      </w:r>
      <w:r>
        <w:rPr>
          <w:rFonts w:ascii="Times New Roman"/>
          <w:sz w:val="24"/>
          <w:szCs w:val="24"/>
          <w:rtl w:val="0"/>
          <w:lang w:val="en-US"/>
        </w:rPr>
        <w:t>Key: s, singlet; d, doublet; t, triplet; q, quartet; m, multiplet; dd, doublet of doublet.</w:t>
      </w:r>
    </w:p>
    <w:p>
      <w:pPr>
        <w:pStyle w:val="Body"/>
        <w:tabs>
          <w:tab w:val="left" w:pos="1440"/>
        </w:tabs>
        <w:spacing w:line="30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vertAlign w:val="superscript"/>
          <w:rtl w:val="0"/>
        </w:rPr>
        <w:t xml:space="preserve">b </w:t>
      </w:r>
      <w:r>
        <w:rPr>
          <w:rFonts w:ascii="Times New Roman"/>
          <w:sz w:val="24"/>
          <w:szCs w:val="24"/>
          <w:rtl w:val="0"/>
          <w:lang w:val="en-US"/>
        </w:rPr>
        <w:t>Liver (L), fecal (F) and cecal content (C) aqueous extracts.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widowControl w:val="0"/>
        <w:spacing w:line="360" w:lineRule="auto"/>
        <w:ind w:left="180" w:hanging="18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/>
          <w:b w:val="1"/>
          <w:bCs w:val="1"/>
          <w:sz w:val="24"/>
          <w:szCs w:val="24"/>
          <w:rtl w:val="0"/>
          <w:lang w:val="en-US"/>
        </w:rPr>
        <w:t xml:space="preserve">Supplemental Material, Table S2. Significantly changed metabolites in the feces, cecal content, liver, and intestine of mice exposed to TCDF  </w:t>
      </w:r>
    </w:p>
    <w:tbl>
      <w:tblPr>
        <w:tblW w:w="9500" w:type="dxa"/>
        <w:jc w:val="left"/>
        <w:tblInd w:w="28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655"/>
        <w:gridCol w:w="1047"/>
        <w:gridCol w:w="1402"/>
        <w:gridCol w:w="1136"/>
        <w:gridCol w:w="1123"/>
        <w:gridCol w:w="1047"/>
        <w:gridCol w:w="1047"/>
        <w:gridCol w:w="1043"/>
      </w:tblGrid>
      <w:tr>
        <w:tblPrEx>
          <w:shd w:val="clear" w:color="auto" w:fill="auto"/>
        </w:tblPrEx>
        <w:trPr>
          <w:trHeight w:val="1120" w:hRule="atLeast"/>
        </w:trPr>
        <w:tc>
          <w:tcPr>
            <w:tcW w:type="dxa" w:w="165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Metabolite</w:t>
            </w:r>
          </w:p>
        </w:tc>
        <w:tc>
          <w:tcPr>
            <w:tcW w:type="dxa" w:w="1047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Feces</w:t>
            </w:r>
          </w:p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X=0.64</w:t>
            </w:r>
          </w:p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=0.88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100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Cecal content</w:t>
            </w:r>
          </w:p>
          <w:p>
            <w:pPr>
              <w:pStyle w:val="Body"/>
              <w:ind w:firstLine="100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X=0.48</w:t>
            </w:r>
          </w:p>
          <w:p>
            <w:pPr>
              <w:pStyle w:val="Body"/>
              <w:ind w:firstLine="100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Q2=0.64</w:t>
            </w:r>
          </w:p>
        </w:tc>
        <w:tc>
          <w:tcPr>
            <w:tcW w:type="dxa" w:w="1136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ind w:firstLine="100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Liver</w:t>
            </w:r>
          </w:p>
          <w:p>
            <w:pPr>
              <w:pStyle w:val="Body"/>
              <w:ind w:firstLine="100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X=0.74</w:t>
            </w:r>
          </w:p>
          <w:p>
            <w:pPr>
              <w:pStyle w:val="Body"/>
              <w:ind w:firstLine="100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=0.75</w:t>
            </w:r>
          </w:p>
        </w:tc>
        <w:tc>
          <w:tcPr>
            <w:tcW w:type="dxa" w:w="1123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Duodenum</w:t>
            </w:r>
          </w:p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X=0.59</w:t>
            </w:r>
          </w:p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=0.85</w:t>
            </w:r>
          </w:p>
        </w:tc>
        <w:tc>
          <w:tcPr>
            <w:tcW w:type="dxa" w:w="1047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Jejunum</w:t>
            </w:r>
          </w:p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X=0.48</w:t>
            </w:r>
          </w:p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=0.65</w:t>
            </w:r>
          </w:p>
        </w:tc>
        <w:tc>
          <w:tcPr>
            <w:tcW w:type="dxa" w:w="1047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Ileum</w:t>
            </w:r>
          </w:p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X=0.66</w:t>
            </w:r>
          </w:p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=0.87</w:t>
            </w:r>
          </w:p>
        </w:tc>
        <w:tc>
          <w:tcPr>
            <w:tcW w:type="dxa" w:w="1043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Cecum</w:t>
            </w:r>
          </w:p>
          <w:p>
            <w:pPr>
              <w:pStyle w:val="Body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R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X=0.56</w:t>
            </w:r>
          </w:p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Q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>2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=0.73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Lipid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+0.78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superscript"/>
                <w:rtl w:val="0"/>
                <w:lang w:val="en-US"/>
              </w:rPr>
              <w:t xml:space="preserve"> a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+0.78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UFA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+0.81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PUFA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+0.74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Alanine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+0.82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-0.83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+0.72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Isoleucine 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+0.93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+0.81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+0.69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+0.86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+0.71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Leucine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+0.88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+0.78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+0.83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+0.68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Valine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+0.79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+0.76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+0.85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+0.67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Tyrosine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+0.94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+0.74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-0.73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+0.77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+0.81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Phenylalanine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+0.92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+0.78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-0.72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+0.83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+0.79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+0.82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+0.84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Lysine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+0.85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+0.71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+0.79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Glutamine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+0.71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+0.73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Glycine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-0.63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-0.72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-0.86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Glucose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-0.76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-0.79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-0.75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-0.63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Glycogen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+0.77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Lactate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-0.75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-0.77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-0.81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Succinate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+0.79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+0.84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Fumarate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-0.68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Creatine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-0.82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n-butyrate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+0.82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+0.92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Propionate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+0.68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+0.88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Taurine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-0.85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-0.84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Choline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-0.75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-0.80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-0.81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-0.82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PC/GPC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-0.76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-0.68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-0.85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-0.83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Inosine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-0.84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Hypoxanthine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-0.67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-0.65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 xml:space="preserve">-0.85 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Uracil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-0.73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Uridine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-0.63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-0.66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Nicotinurate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-0.69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-0.67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-0.68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2" w:hRule="atLeast"/>
        </w:trPr>
        <w:tc>
          <w:tcPr>
            <w:tcW w:type="dxa" w:w="165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Allantoate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40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+0.78</w:t>
            </w:r>
          </w:p>
        </w:tc>
        <w:tc>
          <w:tcPr>
            <w:tcW w:type="dxa" w:w="104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  <w:tr>
        <w:tblPrEx>
          <w:shd w:val="clear" w:color="auto" w:fill="auto"/>
        </w:tblPrEx>
        <w:trPr>
          <w:trHeight w:val="217" w:hRule="atLeast"/>
        </w:trPr>
        <w:tc>
          <w:tcPr>
            <w:tcW w:type="dxa" w:w="165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Oligosaccharides</w:t>
            </w:r>
          </w:p>
        </w:tc>
        <w:tc>
          <w:tcPr>
            <w:tcW w:type="dxa" w:w="10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-0.81</w:t>
            </w:r>
          </w:p>
        </w:tc>
        <w:tc>
          <w:tcPr>
            <w:tcW w:type="dxa" w:w="140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-0.71</w:t>
            </w:r>
          </w:p>
        </w:tc>
        <w:tc>
          <w:tcPr>
            <w:tcW w:type="dxa" w:w="113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123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  <w:tc>
          <w:tcPr>
            <w:tcW w:type="dxa" w:w="1043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cs="Calibri" w:hAnsi="Calibri" w:eastAsia="Calibri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zh-TW" w:eastAsia="zh-TW"/>
              </w:rPr>
              <w:t>－</w:t>
            </w:r>
          </w:p>
        </w:tc>
      </w:tr>
    </w:tbl>
    <w:p>
      <w:pPr>
        <w:pStyle w:val="Body"/>
        <w:widowControl w:val="0"/>
        <w:spacing w:line="240" w:lineRule="auto"/>
        <w:ind w:left="180" w:hanging="180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Body"/>
        <w:tabs>
          <w:tab w:val="left" w:pos="1440"/>
        </w:tabs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vertAlign w:val="superscript"/>
          <w:rtl w:val="0"/>
        </w:rPr>
        <w:t>a</w:t>
      </w:r>
      <w:r>
        <w:rPr>
          <w:rFonts w:ascii="Times New Roman"/>
          <w:sz w:val="24"/>
          <w:szCs w:val="24"/>
          <w:rtl w:val="0"/>
          <w:lang w:val="en-US"/>
        </w:rPr>
        <w:t xml:space="preserve"> Correlation coefficient values obtained from OPLS-DA of treatment groups;</w:t>
      </w:r>
    </w:p>
    <w:p>
      <w:pPr>
        <w:pStyle w:val="Body"/>
        <w:tabs>
          <w:tab w:val="left" w:pos="1440"/>
        </w:tabs>
      </w:pPr>
      <w:r>
        <w:rPr>
          <w:rFonts w:ascii="Times New Roman"/>
          <w:sz w:val="24"/>
          <w:szCs w:val="24"/>
          <w:rtl w:val="0"/>
          <w:lang w:val="en-US"/>
        </w:rPr>
        <w:t>+ and</w:t>
      </w:r>
      <w:r>
        <w:rPr>
          <w:rFonts w:hAnsi="Times New Roman" w:hint="default"/>
          <w:sz w:val="24"/>
          <w:szCs w:val="24"/>
          <w:rtl w:val="0"/>
          <w:lang w:val="en-US"/>
        </w:rPr>
        <w:t xml:space="preserve"> – </w:t>
      </w:r>
      <w:r>
        <w:rPr>
          <w:rFonts w:ascii="Times New Roman"/>
          <w:sz w:val="24"/>
          <w:szCs w:val="24"/>
          <w:rtl w:val="0"/>
          <w:lang w:val="en-US"/>
        </w:rPr>
        <w:t xml:space="preserve">indicate a significant increase and decrease of metabolite levels in the treatment groups compared to the control mice; </w:t>
      </w:r>
      <w:r>
        <w:rPr>
          <w:rFonts w:ascii="Calibri" w:cs="Calibri" w:hAnsi="Calibri" w:eastAsia="Calibri"/>
          <w:sz w:val="24"/>
          <w:szCs w:val="24"/>
          <w:rtl w:val="0"/>
          <w:lang w:val="zh-TW" w:eastAsia="zh-TW"/>
        </w:rPr>
        <w:t>－</w:t>
      </w:r>
      <w:r>
        <w:rPr>
          <w:rFonts w:ascii="Times New Roman"/>
          <w:sz w:val="24"/>
          <w:szCs w:val="24"/>
          <w:rtl w:val="0"/>
          <w:lang w:val="en-US"/>
        </w:rPr>
        <w:t xml:space="preserve"> no change.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