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40D72" w14:textId="77777777" w:rsidR="00F87A4D" w:rsidRPr="00F87A4D" w:rsidRDefault="00F87A4D"/>
    <w:p w14:paraId="70310444" w14:textId="77777777" w:rsidR="00354DC1" w:rsidRDefault="00354DC1">
      <w:pPr>
        <w:rPr>
          <w:u w:val="single"/>
        </w:rPr>
      </w:pPr>
    </w:p>
    <w:p w14:paraId="7C650796" w14:textId="53447001" w:rsidR="00354DC1" w:rsidRDefault="008B39CD" w:rsidP="00C40B93">
      <w:pPr>
        <w:jc w:val="center"/>
        <w:outlineLvl w:val="0"/>
        <w:rPr>
          <w:sz w:val="44"/>
          <w:szCs w:val="44"/>
        </w:rPr>
      </w:pPr>
      <w:r>
        <w:rPr>
          <w:sz w:val="44"/>
          <w:szCs w:val="44"/>
        </w:rPr>
        <w:t>Michels_CHEAR_2017_1977</w:t>
      </w:r>
    </w:p>
    <w:p w14:paraId="5350FA3F" w14:textId="649D2604" w:rsidR="008176D3" w:rsidRDefault="008176D3" w:rsidP="00354DC1">
      <w:pPr>
        <w:jc w:val="center"/>
        <w:rPr>
          <w:sz w:val="44"/>
          <w:szCs w:val="44"/>
        </w:rPr>
      </w:pPr>
      <w:r>
        <w:rPr>
          <w:sz w:val="44"/>
          <w:szCs w:val="44"/>
        </w:rPr>
        <w:t>Urine Metabolomics</w:t>
      </w:r>
    </w:p>
    <w:p w14:paraId="5463BE80" w14:textId="18592CE7" w:rsidR="00354DC1" w:rsidRPr="00914F54" w:rsidRDefault="00354DC1" w:rsidP="00354DC1">
      <w:r w:rsidRPr="00914F54">
        <w:t xml:space="preserve">Contact info: </w:t>
      </w:r>
    </w:p>
    <w:p w14:paraId="6ABE7A5B" w14:textId="4F59BE43" w:rsidR="00914F54" w:rsidRPr="00914F54" w:rsidRDefault="00914F54" w:rsidP="00354DC1">
      <w:pPr>
        <w:rPr>
          <w:rFonts w:ascii="Times" w:eastAsia="Times New Roman" w:hAnsi="Times" w:cs="Times New Roman"/>
        </w:rPr>
      </w:pPr>
      <w:r w:rsidRPr="00914F54">
        <w:tab/>
      </w:r>
      <w:r w:rsidRPr="00914F54">
        <w:tab/>
      </w:r>
    </w:p>
    <w:p w14:paraId="6120B325" w14:textId="77777777" w:rsidR="00354DC1" w:rsidRPr="00914F54" w:rsidRDefault="00354DC1" w:rsidP="00354DC1"/>
    <w:p w14:paraId="15757566" w14:textId="56258D30" w:rsidR="0077644C" w:rsidRDefault="00354DC1" w:rsidP="00C40B93">
      <w:pPr>
        <w:outlineLvl w:val="0"/>
      </w:pPr>
      <w:r>
        <w:t xml:space="preserve">Lauren Petrick, </w:t>
      </w:r>
      <w:proofErr w:type="spellStart"/>
      <w:r>
        <w:t>Ph.D</w:t>
      </w:r>
      <w:proofErr w:type="spellEnd"/>
    </w:p>
    <w:p w14:paraId="3E856AB5" w14:textId="137909B4" w:rsidR="00354DC1" w:rsidRDefault="00354DC1" w:rsidP="00354DC1">
      <w:r>
        <w:t>Assistant Professor</w:t>
      </w:r>
    </w:p>
    <w:p w14:paraId="79A6610C" w14:textId="7CBC4222" w:rsidR="0077644C" w:rsidRDefault="005B23BA" w:rsidP="00354DC1">
      <w:r>
        <w:t>Head of Untargeted Metabolomics</w:t>
      </w:r>
    </w:p>
    <w:p w14:paraId="05B885E2" w14:textId="08424311" w:rsidR="00354DC1" w:rsidRDefault="00420C14" w:rsidP="00C40B93">
      <w:pPr>
        <w:outlineLvl w:val="0"/>
      </w:pPr>
      <w:hyperlink r:id="rId8" w:history="1">
        <w:r w:rsidR="00914F54" w:rsidRPr="00702C1E">
          <w:rPr>
            <w:rStyle w:val="Hyperlink"/>
          </w:rPr>
          <w:t>Lauren.petrick@mssm.edu</w:t>
        </w:r>
      </w:hyperlink>
    </w:p>
    <w:p w14:paraId="5C5BF8D6" w14:textId="6417753E" w:rsidR="008176D3" w:rsidRPr="008176D3" w:rsidRDefault="00914F54" w:rsidP="008176D3">
      <w:r w:rsidRPr="00914F54">
        <w:rPr>
          <w:rFonts w:ascii="Calibri" w:eastAsia="Times New Roman" w:hAnsi="Calibri" w:cs="Times New Roman"/>
          <w:color w:val="000000"/>
        </w:rPr>
        <w:t>212-241-7351</w:t>
      </w:r>
      <w:bookmarkStart w:id="0" w:name="_GoBack"/>
      <w:bookmarkEnd w:id="0"/>
    </w:p>
    <w:p w14:paraId="775A9686" w14:textId="77777777" w:rsidR="00B3036D" w:rsidRDefault="00B3036D">
      <w:pPr>
        <w:rPr>
          <w:u w:val="single"/>
        </w:rPr>
      </w:pPr>
    </w:p>
    <w:p w14:paraId="6A35FEC9" w14:textId="77777777" w:rsidR="00B3036D" w:rsidRDefault="00B3036D" w:rsidP="00C40B93">
      <w:pPr>
        <w:outlineLvl w:val="0"/>
        <w:rPr>
          <w:u w:val="single"/>
        </w:rPr>
      </w:pPr>
      <w:r>
        <w:rPr>
          <w:u w:val="single"/>
        </w:rPr>
        <w:t>Enclosed Files:</w:t>
      </w:r>
    </w:p>
    <w:p w14:paraId="0EAF747B" w14:textId="77777777" w:rsidR="003506E7" w:rsidRDefault="003506E7">
      <w:pPr>
        <w:rPr>
          <w:u w:val="single"/>
        </w:rPr>
      </w:pPr>
    </w:p>
    <w:p w14:paraId="0EFF0DE2" w14:textId="5139C386" w:rsidR="000F692F" w:rsidRDefault="003506E7" w:rsidP="00C40B93">
      <w:pPr>
        <w:outlineLvl w:val="0"/>
      </w:pPr>
      <w:r>
        <w:t>“</w:t>
      </w:r>
      <w:r w:rsidR="008B39CD" w:rsidRPr="008B39CD">
        <w:t>Meta_2019_Michels2017_1977</w:t>
      </w:r>
      <w:r w:rsidR="001D4C1C">
        <w:t>.csv</w:t>
      </w:r>
      <w:r>
        <w:t>”</w:t>
      </w:r>
    </w:p>
    <w:p w14:paraId="650907CB" w14:textId="386C9BED" w:rsidR="000F692F" w:rsidRDefault="000F692F">
      <w:r>
        <w:t>“</w:t>
      </w:r>
      <w:r w:rsidR="008B39CD">
        <w:t>Michels</w:t>
      </w:r>
      <w:r w:rsidRPr="000F692F">
        <w:t>_Urine_ZHP_targeted</w:t>
      </w:r>
      <w:r w:rsidR="001D4C1C">
        <w:t>_Final</w:t>
      </w:r>
      <w:r w:rsidR="007A28CD">
        <w:t>.csv</w:t>
      </w:r>
      <w:r>
        <w:t>”</w:t>
      </w:r>
    </w:p>
    <w:p w14:paraId="22D2BD2F" w14:textId="4759E67C" w:rsidR="000F692F" w:rsidRDefault="000F692F">
      <w:r>
        <w:t>“</w:t>
      </w:r>
      <w:r w:rsidR="008B39CD">
        <w:t>Michels</w:t>
      </w:r>
      <w:r w:rsidRPr="000F692F">
        <w:t>_Urine_</w:t>
      </w:r>
      <w:r>
        <w:t>RPN</w:t>
      </w:r>
      <w:r w:rsidRPr="000F692F">
        <w:t>_targeted</w:t>
      </w:r>
      <w:r w:rsidR="007A28CD">
        <w:t>_</w:t>
      </w:r>
      <w:r w:rsidR="001D4C1C">
        <w:t>Final</w:t>
      </w:r>
      <w:r w:rsidR="007A28CD">
        <w:t>.csv</w:t>
      </w:r>
      <w:r>
        <w:t>”</w:t>
      </w:r>
    </w:p>
    <w:p w14:paraId="53611147" w14:textId="1DD8A792" w:rsidR="000F692F" w:rsidRDefault="000F692F">
      <w:r>
        <w:t>“</w:t>
      </w:r>
      <w:r w:rsidR="008B39CD">
        <w:t>Michels</w:t>
      </w:r>
      <w:r w:rsidR="00B9068F" w:rsidRPr="00B9068F">
        <w:t>_</w:t>
      </w:r>
      <w:r w:rsidR="007A28CD">
        <w:t>Urine_RPN_</w:t>
      </w:r>
      <w:r w:rsidR="00B9068F" w:rsidRPr="00B9068F">
        <w:t>Untargeted_</w:t>
      </w:r>
      <w:r w:rsidR="001D4C1C">
        <w:t>Final</w:t>
      </w:r>
      <w:r w:rsidR="00B9068F" w:rsidRPr="00B9068F">
        <w:t>.csv</w:t>
      </w:r>
      <w:r>
        <w:t>”</w:t>
      </w:r>
    </w:p>
    <w:p w14:paraId="649CB152" w14:textId="16EE5B85" w:rsidR="00354DC1" w:rsidRDefault="000F692F">
      <w:pPr>
        <w:rPr>
          <w:u w:val="single"/>
        </w:rPr>
      </w:pPr>
      <w:r>
        <w:t>“</w:t>
      </w:r>
      <w:r w:rsidR="008B39CD">
        <w:t>Michels</w:t>
      </w:r>
      <w:r w:rsidR="00B9068F" w:rsidRPr="00B9068F">
        <w:t>_</w:t>
      </w:r>
      <w:r w:rsidR="007A28CD">
        <w:t>Urine_ZHP_</w:t>
      </w:r>
      <w:r w:rsidR="007A28CD" w:rsidRPr="00B9068F">
        <w:t>Untargeted_</w:t>
      </w:r>
      <w:r w:rsidR="001D4C1C">
        <w:t>Final</w:t>
      </w:r>
      <w:r w:rsidR="00B9068F" w:rsidRPr="00B9068F">
        <w:t>.csv</w:t>
      </w:r>
      <w:r w:rsidR="00B9068F">
        <w:t>”</w:t>
      </w:r>
      <w:r w:rsidR="00354DC1">
        <w:rPr>
          <w:u w:val="single"/>
        </w:rPr>
        <w:br w:type="page"/>
      </w:r>
    </w:p>
    <w:p w14:paraId="41EDFC80" w14:textId="317A834A" w:rsidR="00354DC1" w:rsidRPr="00F8739B" w:rsidRDefault="00354DC1" w:rsidP="00C40B93">
      <w:pPr>
        <w:outlineLvl w:val="0"/>
        <w:rPr>
          <w:sz w:val="36"/>
          <w:szCs w:val="36"/>
        </w:rPr>
      </w:pPr>
      <w:r w:rsidRPr="00F8739B">
        <w:rPr>
          <w:sz w:val="36"/>
          <w:szCs w:val="36"/>
        </w:rPr>
        <w:lastRenderedPageBreak/>
        <w:t>Objective</w:t>
      </w:r>
    </w:p>
    <w:p w14:paraId="590940ED" w14:textId="5153F7D5" w:rsidR="00354DC1" w:rsidRDefault="00354DC1">
      <w:r w:rsidRPr="00354DC1">
        <w:t>To perform</w:t>
      </w:r>
      <w:r>
        <w:t xml:space="preserve"> an untargeted metabolomi</w:t>
      </w:r>
      <w:r w:rsidR="00C031AE">
        <w:t xml:space="preserve">cs analysis of urine samples, matrix blanks and quality control samples. The metabolomics approach will be performed using both reverse phase (RP) and HILIC chromatography </w:t>
      </w:r>
      <w:r w:rsidR="00803C5A">
        <w:t>(ZH</w:t>
      </w:r>
      <w:r w:rsidR="007F7ECA">
        <w:t>P</w:t>
      </w:r>
      <w:r w:rsidR="00803C5A">
        <w:t xml:space="preserve">) </w:t>
      </w:r>
      <w:r w:rsidR="00C031AE">
        <w:t>separations coupled to high-resolution mas</w:t>
      </w:r>
      <w:r w:rsidR="00114940">
        <w:t>s</w:t>
      </w:r>
      <w:r w:rsidR="00C031AE">
        <w:t xml:space="preserve"> spectrometry.</w:t>
      </w:r>
    </w:p>
    <w:p w14:paraId="6C682B82" w14:textId="77777777" w:rsidR="00C031AE" w:rsidRDefault="00C031AE"/>
    <w:p w14:paraId="735A0239" w14:textId="62391A43" w:rsidR="00C031AE" w:rsidRPr="00F8739B" w:rsidRDefault="00F8739B" w:rsidP="00C40B93">
      <w:pPr>
        <w:outlineLvl w:val="0"/>
        <w:rPr>
          <w:sz w:val="36"/>
          <w:szCs w:val="36"/>
        </w:rPr>
      </w:pPr>
      <w:r w:rsidRPr="00F8739B">
        <w:rPr>
          <w:sz w:val="36"/>
          <w:szCs w:val="36"/>
        </w:rPr>
        <w:t>Samples</w:t>
      </w:r>
    </w:p>
    <w:p w14:paraId="61FC9204" w14:textId="424325FB" w:rsidR="00354DC1" w:rsidRDefault="00F8739B">
      <w:r>
        <w:t>Samples were received and stored at -80</w:t>
      </w:r>
      <w:r w:rsidR="006F6DD2">
        <w:rPr>
          <w:rFonts w:ascii="Cambria" w:hAnsi="Cambria"/>
        </w:rPr>
        <w:t>°</w:t>
      </w:r>
      <w:r w:rsidR="006F6DD2">
        <w:t>C</w:t>
      </w:r>
      <w:r>
        <w:t xml:space="preserve"> until processing. In total, </w:t>
      </w:r>
      <w:r w:rsidR="008176D3">
        <w:t>31</w:t>
      </w:r>
      <w:r w:rsidR="008B39CD">
        <w:t>5</w:t>
      </w:r>
      <w:r>
        <w:t xml:space="preserve"> samples had sufficient sample volume for metabolomics analysis. </w:t>
      </w:r>
    </w:p>
    <w:p w14:paraId="6699623F" w14:textId="77777777" w:rsidR="00F8739B" w:rsidRDefault="00F8739B"/>
    <w:p w14:paraId="317AF852" w14:textId="7BFAC608" w:rsidR="00B9068F" w:rsidRPr="001C3A2E" w:rsidRDefault="00F8739B" w:rsidP="00C40B93">
      <w:pPr>
        <w:outlineLvl w:val="0"/>
        <w:rPr>
          <w:sz w:val="36"/>
          <w:szCs w:val="36"/>
        </w:rPr>
      </w:pPr>
      <w:r w:rsidRPr="00F8739B">
        <w:rPr>
          <w:sz w:val="36"/>
          <w:szCs w:val="36"/>
        </w:rPr>
        <w:t>Experimental</w:t>
      </w:r>
    </w:p>
    <w:p w14:paraId="51193B79" w14:textId="44020218" w:rsidR="00E40858" w:rsidRDefault="00E40858">
      <w:pPr>
        <w:rPr>
          <w:u w:val="single"/>
        </w:rPr>
      </w:pPr>
      <w:r>
        <w:rPr>
          <w:u w:val="single"/>
        </w:rPr>
        <w:t xml:space="preserve">Solutions and solvents: </w:t>
      </w:r>
      <w:r w:rsidRPr="00E40858">
        <w:t xml:space="preserve">All solutions are prepared </w:t>
      </w:r>
      <w:r>
        <w:t>at room temperature using LC-MS grade sol</w:t>
      </w:r>
      <w:r w:rsidR="00F8739B">
        <w:t>vents and analytical grade reage</w:t>
      </w:r>
      <w:r>
        <w:t>nts. Aceton</w:t>
      </w:r>
      <w:r w:rsidR="00F8739B">
        <w:t>i</w:t>
      </w:r>
      <w:r>
        <w:t>trile</w:t>
      </w:r>
      <w:r w:rsidR="00F8739B">
        <w:t xml:space="preserve"> </w:t>
      </w:r>
      <w:r w:rsidR="00F87A4D">
        <w:t xml:space="preserve">and formic acid </w:t>
      </w:r>
      <w:r w:rsidR="00F8739B">
        <w:t>(Optima</w:t>
      </w:r>
      <w:r w:rsidR="00C42E27">
        <w:t xml:space="preserve"> LC/MS grade</w:t>
      </w:r>
      <w:r w:rsidR="00F8739B">
        <w:t xml:space="preserve">) </w:t>
      </w:r>
      <w:r w:rsidR="00F87A4D">
        <w:t xml:space="preserve">were purchased from Fisher </w:t>
      </w:r>
      <w:r w:rsidR="00C42E27">
        <w:t>Scientific</w:t>
      </w:r>
      <w:r w:rsidR="00F87A4D">
        <w:t>. I</w:t>
      </w:r>
      <w:r>
        <w:t>sopropanol</w:t>
      </w:r>
      <w:r w:rsidR="00F8739B">
        <w:t xml:space="preserve"> (</w:t>
      </w:r>
      <w:proofErr w:type="spellStart"/>
      <w:r w:rsidR="00BF2219" w:rsidRPr="00BF2219">
        <w:t>hypergrade</w:t>
      </w:r>
      <w:proofErr w:type="spellEnd"/>
      <w:r w:rsidR="00BF2219" w:rsidRPr="00BF2219">
        <w:t xml:space="preserve"> for LC-MS </w:t>
      </w:r>
      <w:proofErr w:type="spellStart"/>
      <w:r w:rsidR="00BF2219" w:rsidRPr="00BF2219">
        <w:t>LiChrosolv</w:t>
      </w:r>
      <w:proofErr w:type="spellEnd"/>
      <w:r w:rsidR="00F8739B">
        <w:t>)</w:t>
      </w:r>
      <w:r w:rsidR="00F87A4D">
        <w:t xml:space="preserve"> </w:t>
      </w:r>
      <w:r w:rsidR="007229D6">
        <w:t xml:space="preserve">was </w:t>
      </w:r>
      <w:r>
        <w:t xml:space="preserve">purchased from </w:t>
      </w:r>
      <w:r w:rsidR="00F87A4D">
        <w:t>Sigma</w:t>
      </w:r>
      <w:r>
        <w:t xml:space="preserve">. </w:t>
      </w:r>
      <w:r w:rsidR="00F8739B">
        <w:t xml:space="preserve">Ultrapure water was filtered with a Millipore </w:t>
      </w:r>
      <w:proofErr w:type="spellStart"/>
      <w:r w:rsidR="00F8739B">
        <w:t>Milli</w:t>
      </w:r>
      <w:proofErr w:type="spellEnd"/>
      <w:r w:rsidR="00F8739B">
        <w:t>-Q system (18mU)</w:t>
      </w:r>
      <w:r w:rsidR="006D75B7">
        <w:t xml:space="preserve">. </w:t>
      </w:r>
    </w:p>
    <w:p w14:paraId="500B823F" w14:textId="77777777" w:rsidR="00E40858" w:rsidRDefault="00E40858">
      <w:pPr>
        <w:rPr>
          <w:u w:val="single"/>
        </w:rPr>
      </w:pPr>
    </w:p>
    <w:p w14:paraId="5154076B" w14:textId="77777777" w:rsidR="007229D6" w:rsidRDefault="00E907D3" w:rsidP="00C40B93">
      <w:pPr>
        <w:outlineLvl w:val="0"/>
      </w:pPr>
      <w:r w:rsidRPr="00E40858">
        <w:rPr>
          <w:u w:val="single"/>
        </w:rPr>
        <w:t>Sample preparation:</w:t>
      </w:r>
      <w:r>
        <w:t xml:space="preserve"> </w:t>
      </w:r>
    </w:p>
    <w:p w14:paraId="4E512814" w14:textId="300ECD16" w:rsidR="00B3036D" w:rsidRDefault="00B3036D">
      <w:proofErr w:type="spellStart"/>
      <w:r>
        <w:t>Aliquoting</w:t>
      </w:r>
      <w:proofErr w:type="spellEnd"/>
      <w:r>
        <w:t xml:space="preserve"> was initially performed for all CHEAR assays, and included an aliquot of each sample for metabolomics and specific gravity measurements. Specific gravity measurements were made first, to determine dilution factors required for pre-acquisition normalization. Specific gravity and dilution </w:t>
      </w:r>
      <w:r w:rsidR="003506E7">
        <w:t>factors are included in the</w:t>
      </w:r>
      <w:r>
        <w:t xml:space="preserve"> “</w:t>
      </w:r>
      <w:r w:rsidR="008B39CD" w:rsidRPr="008B39CD">
        <w:t>Meta_2019_Michels2017_1977</w:t>
      </w:r>
      <w:r w:rsidR="001D4C1C">
        <w:t>.csv</w:t>
      </w:r>
      <w:r w:rsidR="003506E7">
        <w:t>”</w:t>
      </w:r>
    </w:p>
    <w:p w14:paraId="12DDBECB" w14:textId="77777777" w:rsidR="00B3036D" w:rsidRDefault="00B3036D"/>
    <w:p w14:paraId="7047C10C" w14:textId="22C12D2A" w:rsidR="001359A3" w:rsidRDefault="00C21F5B">
      <w:r>
        <w:t>Urine samples were tha</w:t>
      </w:r>
      <w:r w:rsidR="001359A3">
        <w:t>wed on ice in batches</w:t>
      </w:r>
      <w:r w:rsidR="00B3036D">
        <w:t xml:space="preserve"> of approximately 65</w:t>
      </w:r>
      <w:r w:rsidR="00332185">
        <w:t xml:space="preserve"> samples</w:t>
      </w:r>
      <w:r w:rsidR="001359A3">
        <w:t xml:space="preserve">, </w:t>
      </w:r>
      <w:proofErr w:type="gramStart"/>
      <w:r w:rsidR="003506E7">
        <w:t xml:space="preserve">and  </w:t>
      </w:r>
      <w:proofErr w:type="spellStart"/>
      <w:r w:rsidR="001359A3">
        <w:t>vortexed</w:t>
      </w:r>
      <w:proofErr w:type="spellEnd"/>
      <w:proofErr w:type="gramEnd"/>
      <w:r w:rsidR="003506E7">
        <w:t>. The</w:t>
      </w:r>
      <w:r w:rsidR="0080350F">
        <w:t xml:space="preserve"> sample </w:t>
      </w:r>
      <w:r w:rsidR="003506E7">
        <w:t xml:space="preserve">was </w:t>
      </w:r>
      <w:r w:rsidR="0080350F">
        <w:t>diluted with water down to</w:t>
      </w:r>
      <w:r w:rsidR="00B3036D">
        <w:t xml:space="preserve"> a specific gravity of 1.002</w:t>
      </w:r>
      <w:r w:rsidR="0080350F">
        <w:t xml:space="preserve"> for pre-acquisition</w:t>
      </w:r>
      <w:r w:rsidR="00386F1E">
        <w:t xml:space="preserve"> normalization. A </w:t>
      </w:r>
      <w:proofErr w:type="gramStart"/>
      <w:r w:rsidR="00386F1E">
        <w:t xml:space="preserve">20 </w:t>
      </w:r>
      <w:r w:rsidR="00386F1E" w:rsidRPr="00386F1E">
        <w:rPr>
          <w:rFonts w:ascii="Symbol" w:hAnsi="Symbol"/>
        </w:rPr>
        <w:t></w:t>
      </w:r>
      <w:r w:rsidR="0080350F">
        <w:t>L</w:t>
      </w:r>
      <w:proofErr w:type="gramEnd"/>
      <w:r w:rsidR="0080350F">
        <w:t xml:space="preserve"> aliquot of the diluted sample was prepared for metabolomics analysis</w:t>
      </w:r>
      <w:r w:rsidR="00386F1E">
        <w:t>.</w:t>
      </w:r>
      <w:r w:rsidR="0080350F">
        <w:t xml:space="preserve"> </w:t>
      </w:r>
      <w:r w:rsidR="00332185">
        <w:t xml:space="preserve"> </w:t>
      </w:r>
      <w:r w:rsidR="0080350F">
        <w:t>In addition, a</w:t>
      </w:r>
      <w:r w:rsidR="007229D6">
        <w:t xml:space="preserve"> </w:t>
      </w:r>
      <w:r w:rsidR="001359A3">
        <w:t>20</w:t>
      </w:r>
      <w:r w:rsidR="00386F1E">
        <w:t xml:space="preserve"> </w:t>
      </w:r>
      <w:r w:rsidR="00386F1E" w:rsidRPr="00386F1E">
        <w:rPr>
          <w:rFonts w:ascii="Symbol" w:hAnsi="Symbol"/>
        </w:rPr>
        <w:t></w:t>
      </w:r>
      <w:r>
        <w:t xml:space="preserve">L aliquot from each </w:t>
      </w:r>
      <w:r w:rsidR="0080350F">
        <w:t xml:space="preserve">diluted </w:t>
      </w:r>
      <w:r>
        <w:t xml:space="preserve">sample </w:t>
      </w:r>
      <w:r w:rsidR="00F87A4D">
        <w:t xml:space="preserve">was </w:t>
      </w:r>
      <w:r>
        <w:t>combined for use as a pooled quality control sample</w:t>
      </w:r>
      <w:r w:rsidR="001F1FDD">
        <w:t xml:space="preserve"> and </w:t>
      </w:r>
      <w:r w:rsidR="00386F1E">
        <w:t>re-</w:t>
      </w:r>
      <w:proofErr w:type="spellStart"/>
      <w:r w:rsidR="00386F1E">
        <w:t>aliquoted</w:t>
      </w:r>
      <w:proofErr w:type="spellEnd"/>
      <w:r w:rsidR="00386F1E">
        <w:t xml:space="preserve"> into 20</w:t>
      </w:r>
      <w:r w:rsidR="00386F1E" w:rsidRPr="00386F1E">
        <w:rPr>
          <w:rFonts w:ascii="Symbol" w:hAnsi="Symbol"/>
        </w:rPr>
        <w:t></w:t>
      </w:r>
      <w:r w:rsidR="001359A3">
        <w:t xml:space="preserve">L samples. </w:t>
      </w:r>
      <w:r w:rsidR="001F1FDD">
        <w:t xml:space="preserve">Samples </w:t>
      </w:r>
      <w:r w:rsidR="001359A3">
        <w:t>were then returned to -80</w:t>
      </w:r>
      <w:r w:rsidR="00914F54">
        <w:rPr>
          <w:rFonts w:ascii="Cambria" w:hAnsi="Cambria"/>
        </w:rPr>
        <w:t>°</w:t>
      </w:r>
      <w:r w:rsidR="001359A3">
        <w:t>C until analysis.</w:t>
      </w:r>
      <w:r w:rsidR="00A3791C">
        <w:t xml:space="preserve"> </w:t>
      </w:r>
    </w:p>
    <w:p w14:paraId="0BC5E5BE" w14:textId="77777777" w:rsidR="001359A3" w:rsidRDefault="001359A3"/>
    <w:p w14:paraId="420B7195" w14:textId="78D83AF8" w:rsidR="001359A3" w:rsidRDefault="00E40858">
      <w:r>
        <w:t>Extraction was performed in</w:t>
      </w:r>
      <w:r w:rsidR="00F559DC">
        <w:t xml:space="preserve"> batches</w:t>
      </w:r>
      <w:r>
        <w:t xml:space="preserve"> of approximately 65 samples, immediately prior to LC-HRMS analysis</w:t>
      </w:r>
      <w:r w:rsidR="00F559DC">
        <w:t xml:space="preserve">. </w:t>
      </w:r>
      <w:r w:rsidR="001359A3">
        <w:t>All sample</w:t>
      </w:r>
      <w:r w:rsidR="00F559DC">
        <w:t>s in a batch were thawed on ice,</w:t>
      </w:r>
      <w:r w:rsidR="001359A3">
        <w:t xml:space="preserve"> combined with 180</w:t>
      </w:r>
      <w:r w:rsidR="008B39CD" w:rsidRPr="00386F1E">
        <w:rPr>
          <w:rFonts w:ascii="Symbol" w:hAnsi="Symbol"/>
        </w:rPr>
        <w:t></w:t>
      </w:r>
      <w:r w:rsidR="001359A3">
        <w:t xml:space="preserve">L of acetonitrile </w:t>
      </w:r>
      <w:r w:rsidR="002E65EC">
        <w:t>containing internal standards</w:t>
      </w:r>
      <w:r w:rsidR="001359A3">
        <w:t xml:space="preserve">, </w:t>
      </w:r>
      <w:r w:rsidR="001F1FDD">
        <w:t xml:space="preserve">and </w:t>
      </w:r>
      <w:proofErr w:type="spellStart"/>
      <w:r w:rsidR="001359A3">
        <w:t>vortexed</w:t>
      </w:r>
      <w:proofErr w:type="spellEnd"/>
      <w:r w:rsidR="007962CE">
        <w:t xml:space="preserve"> for 30sec</w:t>
      </w:r>
      <w:r w:rsidR="00F559DC">
        <w:t>.  Samples were then centrifuged (</w:t>
      </w:r>
      <w:r w:rsidR="0044344C">
        <w:t>13000 g</w:t>
      </w:r>
      <w:r w:rsidR="00914F54">
        <w:t xml:space="preserve">, 15 min, </w:t>
      </w:r>
      <w:r w:rsidR="00914F54">
        <w:rPr>
          <w:rFonts w:ascii="Cambria" w:hAnsi="Cambria"/>
        </w:rPr>
        <w:t>°</w:t>
      </w:r>
      <w:r w:rsidR="00914F54">
        <w:t>C</w:t>
      </w:r>
      <w:r w:rsidR="00F559DC">
        <w:t xml:space="preserve">), and </w:t>
      </w:r>
      <w:r w:rsidR="0080350F">
        <w:t>60</w:t>
      </w:r>
      <w:r w:rsidR="00A430A0">
        <w:t xml:space="preserve"> </w:t>
      </w:r>
      <w:r w:rsidR="00386F1E" w:rsidRPr="00386F1E">
        <w:rPr>
          <w:rFonts w:ascii="Symbol" w:hAnsi="Symbol"/>
        </w:rPr>
        <w:t></w:t>
      </w:r>
      <w:r w:rsidR="00F559DC">
        <w:t xml:space="preserve">L of supernatant transferred to </w:t>
      </w:r>
      <w:r w:rsidR="0080350F">
        <w:t>two</w:t>
      </w:r>
      <w:r w:rsidR="00F559DC">
        <w:t xml:space="preserve"> LC vial</w:t>
      </w:r>
      <w:r w:rsidR="0080350F">
        <w:t>s</w:t>
      </w:r>
      <w:r w:rsidR="00F559DC">
        <w:t xml:space="preserve"> for </w:t>
      </w:r>
      <w:r w:rsidR="0080350F">
        <w:t xml:space="preserve">RP and HILIC </w:t>
      </w:r>
      <w:r w:rsidR="00F559DC">
        <w:t xml:space="preserve">analysis. </w:t>
      </w:r>
      <w:r w:rsidR="002B23D6">
        <w:t>Extrac</w:t>
      </w:r>
      <w:r w:rsidR="00914F54">
        <w:t>t remainder was returned to -80</w:t>
      </w:r>
      <w:r w:rsidR="00914F54">
        <w:rPr>
          <w:rFonts w:ascii="Cambria" w:hAnsi="Cambria"/>
        </w:rPr>
        <w:t>°</w:t>
      </w:r>
      <w:r w:rsidR="00914F54">
        <w:t>C</w:t>
      </w:r>
      <w:r w:rsidR="002B23D6">
        <w:t>. Following the same protocol</w:t>
      </w:r>
      <w:r w:rsidR="00386F1E">
        <w:t xml:space="preserve"> 20 </w:t>
      </w:r>
      <w:r w:rsidR="00386F1E" w:rsidRPr="00386F1E">
        <w:rPr>
          <w:rFonts w:ascii="Symbol" w:hAnsi="Symbol"/>
        </w:rPr>
        <w:t></w:t>
      </w:r>
      <w:r w:rsidR="002D24F4">
        <w:t xml:space="preserve">L aliquots each of </w:t>
      </w:r>
      <w:r w:rsidR="002B23D6">
        <w:t>a</w:t>
      </w:r>
      <w:r w:rsidR="00F559DC">
        <w:t xml:space="preserve"> matrix blank</w:t>
      </w:r>
      <w:r w:rsidR="002B23D6">
        <w:t xml:space="preserve"> (replacing the urine with H</w:t>
      </w:r>
      <w:r w:rsidR="002B23D6" w:rsidRPr="0077644C">
        <w:rPr>
          <w:vertAlign w:val="subscript"/>
        </w:rPr>
        <w:t>2</w:t>
      </w:r>
      <w:r w:rsidR="002B23D6">
        <w:t>O</w:t>
      </w:r>
      <w:r w:rsidR="003506E7">
        <w:t>, “matrix”</w:t>
      </w:r>
      <w:r w:rsidR="002B23D6">
        <w:t xml:space="preserve">), a </w:t>
      </w:r>
      <w:r w:rsidR="001F1FDD">
        <w:t xml:space="preserve">CHEAR Reference urine </w:t>
      </w:r>
      <w:r w:rsidR="00F559DC">
        <w:t>sample</w:t>
      </w:r>
      <w:r w:rsidR="002E65EC">
        <w:t xml:space="preserve"> (</w:t>
      </w:r>
      <w:r w:rsidR="009F7BCD">
        <w:t xml:space="preserve">global </w:t>
      </w:r>
      <w:r w:rsidR="002E65EC">
        <w:lastRenderedPageBreak/>
        <w:t>quality control</w:t>
      </w:r>
      <w:r w:rsidR="001F1FDD">
        <w:t>, “</w:t>
      </w:r>
      <w:r w:rsidR="00220D6A">
        <w:t>UT</w:t>
      </w:r>
      <w:r w:rsidR="001F1FDD">
        <w:t>”</w:t>
      </w:r>
      <w:r w:rsidR="009F7BCD">
        <w:t>)</w:t>
      </w:r>
      <w:r w:rsidR="00F559DC">
        <w:t xml:space="preserve">, </w:t>
      </w:r>
      <w:r w:rsidR="002B23D6">
        <w:t>a</w:t>
      </w:r>
      <w:r w:rsidR="00F559DC">
        <w:t xml:space="preserve"> NIST</w:t>
      </w:r>
      <w:r w:rsidR="0077644C">
        <w:t xml:space="preserve"> 3672</w:t>
      </w:r>
      <w:r w:rsidR="009F7BCD">
        <w:t xml:space="preserve"> sample</w:t>
      </w:r>
      <w:r w:rsidR="00F559DC">
        <w:t xml:space="preserve"> (</w:t>
      </w:r>
      <w:r w:rsidR="009F7BCD">
        <w:t>global quality control</w:t>
      </w:r>
      <w:r w:rsidR="00485125">
        <w:t>, “NIST”</w:t>
      </w:r>
      <w:r w:rsidR="009F7BCD">
        <w:t xml:space="preserve">), and multiple </w:t>
      </w:r>
      <w:proofErr w:type="spellStart"/>
      <w:r w:rsidR="009F7BCD">
        <w:t>pooled</w:t>
      </w:r>
      <w:r w:rsidR="00F559DC">
        <w:t>QC</w:t>
      </w:r>
      <w:proofErr w:type="spellEnd"/>
      <w:r w:rsidR="00F559DC">
        <w:t xml:space="preserve"> samples </w:t>
      </w:r>
      <w:r w:rsidR="009F7BCD">
        <w:t>(local quality control</w:t>
      </w:r>
      <w:r w:rsidR="00485125">
        <w:t>, “LQC”</w:t>
      </w:r>
      <w:r w:rsidR="009F7BCD">
        <w:t xml:space="preserve">) </w:t>
      </w:r>
      <w:r w:rsidR="00F559DC">
        <w:t>were extracted.</w:t>
      </w:r>
      <w:r>
        <w:t xml:space="preserve"> </w:t>
      </w:r>
    </w:p>
    <w:p w14:paraId="4C112683" w14:textId="77777777" w:rsidR="002B23D6" w:rsidRDefault="002B23D6" w:rsidP="00F46E12"/>
    <w:p w14:paraId="48FF5112" w14:textId="5445C0D3" w:rsidR="00F46E12" w:rsidRDefault="009F7BCD" w:rsidP="00F46E12">
      <w:r w:rsidRPr="00F46E12">
        <w:rPr>
          <w:u w:val="single"/>
        </w:rPr>
        <w:t>LC-HRMS analysis</w:t>
      </w:r>
      <w:r w:rsidR="00E40858" w:rsidRPr="00F46E12">
        <w:rPr>
          <w:u w:val="single"/>
        </w:rPr>
        <w:t>:</w:t>
      </w:r>
      <w:r w:rsidR="002E65EC">
        <w:t xml:space="preserve"> </w:t>
      </w:r>
      <w:r>
        <w:t xml:space="preserve">Sample extracts were analyzed in </w:t>
      </w:r>
      <w:r w:rsidR="00803C5A">
        <w:t xml:space="preserve">ZIC </w:t>
      </w:r>
      <w:r>
        <w:t>HILIC positive</w:t>
      </w:r>
      <w:r w:rsidR="00803C5A">
        <w:t xml:space="preserve"> (ZHP)</w:t>
      </w:r>
      <w:r>
        <w:t xml:space="preserve"> and RP negative </w:t>
      </w:r>
      <w:r w:rsidR="00803C5A">
        <w:t xml:space="preserve">(RPN) </w:t>
      </w:r>
      <w:r>
        <w:t>modes separately using an u</w:t>
      </w:r>
      <w:r w:rsidRPr="001F398A">
        <w:t>ltra-high performance liquid chromatography (UHPLC) 1290 Infinity II system</w:t>
      </w:r>
      <w:r>
        <w:t xml:space="preserve"> (including </w:t>
      </w:r>
      <w:r w:rsidR="00223C16" w:rsidRPr="00223C16">
        <w:t xml:space="preserve">0.3 µm </w:t>
      </w:r>
      <w:r>
        <w:t>inline filter, Agilent Technologies, Santa Clara, USA)</w:t>
      </w:r>
      <w:r w:rsidRPr="001F398A">
        <w:t xml:space="preserve"> </w:t>
      </w:r>
      <w:r>
        <w:t xml:space="preserve">with </w:t>
      </w:r>
      <w:r w:rsidRPr="001F398A">
        <w:t>12</w:t>
      </w:r>
      <w:r>
        <w:t>6</w:t>
      </w:r>
      <w:r w:rsidRPr="001F398A">
        <w:t>0 Infinity II</w:t>
      </w:r>
      <w:r>
        <w:t xml:space="preserve"> isocratic pump (including 1:100 splitter) </w:t>
      </w:r>
      <w:r w:rsidRPr="001F398A">
        <w:t xml:space="preserve">coupled to a 6550 </w:t>
      </w:r>
      <w:proofErr w:type="spellStart"/>
      <w:r w:rsidRPr="001F398A">
        <w:t>iFunnel</w:t>
      </w:r>
      <w:proofErr w:type="spellEnd"/>
      <w:r w:rsidRPr="001F398A">
        <w:t xml:space="preserve"> </w:t>
      </w:r>
      <w:r w:rsidR="006F6DD2">
        <w:t xml:space="preserve">or 6545 </w:t>
      </w:r>
      <w:proofErr w:type="spellStart"/>
      <w:r w:rsidRPr="001F398A">
        <w:t>quadrupole</w:t>
      </w:r>
      <w:proofErr w:type="spellEnd"/>
      <w:r w:rsidRPr="001F398A">
        <w:t>-time time of flight (Q-TOF) mass spectrometer with a dual AJS electrospray ionization source (</w:t>
      </w:r>
      <w:r>
        <w:t>Agilent Technologies, Santa Clara, USA).</w:t>
      </w:r>
      <w:r w:rsidR="006D75B7">
        <w:t xml:space="preserve"> Samples were maintained at </w:t>
      </w:r>
      <w:r w:rsidR="00223C16">
        <w:t>5</w:t>
      </w:r>
      <w:r w:rsidR="003A445D">
        <w:rPr>
          <w:rFonts w:ascii="Cambria" w:hAnsi="Cambria"/>
        </w:rPr>
        <w:t>°</w:t>
      </w:r>
      <w:r w:rsidR="00223C16">
        <w:t xml:space="preserve">C </w:t>
      </w:r>
      <w:r w:rsidR="006D75B7">
        <w:t xml:space="preserve">in the </w:t>
      </w:r>
      <w:proofErr w:type="spellStart"/>
      <w:r w:rsidR="006D75B7">
        <w:t>autosampler</w:t>
      </w:r>
      <w:proofErr w:type="spellEnd"/>
      <w:r w:rsidR="006D75B7">
        <w:t xml:space="preserve"> module. Reference masses included positive ionization mode: </w:t>
      </w:r>
      <w:r w:rsidR="006D75B7" w:rsidRPr="00950600">
        <w:t>purine</w:t>
      </w:r>
      <w:r w:rsidR="006D75B7">
        <w:t xml:space="preserve"> </w:t>
      </w:r>
      <w:r w:rsidR="006D75B7" w:rsidRPr="00950600">
        <w:t>(</w:t>
      </w:r>
      <w:r w:rsidR="006D75B7" w:rsidRPr="00466587">
        <w:t>[M</w:t>
      </w:r>
      <w:r w:rsidR="006D75B7">
        <w:t>+H]</w:t>
      </w:r>
      <w:r w:rsidR="006D75B7" w:rsidRPr="00F46E12">
        <w:rPr>
          <w:vertAlign w:val="superscript"/>
        </w:rPr>
        <w:t>+</w:t>
      </w:r>
      <w:r w:rsidR="006D75B7" w:rsidRPr="00950600">
        <w:t xml:space="preserve"> </w:t>
      </w:r>
      <w:r w:rsidR="006D75B7" w:rsidRPr="00F46E12">
        <w:rPr>
          <w:i/>
        </w:rPr>
        <w:t>m/z</w:t>
      </w:r>
      <w:r w:rsidR="006D75B7" w:rsidRPr="00950600">
        <w:t xml:space="preserve"> 121.0509)</w:t>
      </w:r>
      <w:r w:rsidR="006D75B7">
        <w:t>,</w:t>
      </w:r>
      <w:r w:rsidR="006D75B7" w:rsidRPr="00950600">
        <w:t xml:space="preserve"> HP-0921 (</w:t>
      </w:r>
      <w:r w:rsidR="006D75B7" w:rsidRPr="00466587">
        <w:t>[M</w:t>
      </w:r>
      <w:r w:rsidR="006D75B7">
        <w:t>+H]</w:t>
      </w:r>
      <w:r w:rsidR="006D75B7" w:rsidRPr="00F46E12">
        <w:rPr>
          <w:vertAlign w:val="superscript"/>
        </w:rPr>
        <w:t>+</w:t>
      </w:r>
      <w:r w:rsidR="006D75B7" w:rsidRPr="00950600">
        <w:t xml:space="preserve"> </w:t>
      </w:r>
      <w:r w:rsidR="006D75B7" w:rsidRPr="00F46E12">
        <w:rPr>
          <w:i/>
        </w:rPr>
        <w:t>m/z</w:t>
      </w:r>
      <w:r w:rsidR="006D75B7" w:rsidRPr="00950600">
        <w:t xml:space="preserve"> 922.0098)</w:t>
      </w:r>
      <w:r w:rsidR="006D75B7">
        <w:t xml:space="preserve">; and negative ionization mode: </w:t>
      </w:r>
      <w:r w:rsidR="006D75B7" w:rsidRPr="00950600">
        <w:t>purine</w:t>
      </w:r>
      <w:r w:rsidR="006D75B7">
        <w:t xml:space="preserve"> (</w:t>
      </w:r>
      <w:r w:rsidR="006D75B7" w:rsidRPr="00466587">
        <w:t>[M-H]</w:t>
      </w:r>
      <w:r w:rsidR="006D75B7" w:rsidRPr="00F46E12">
        <w:rPr>
          <w:vertAlign w:val="superscript"/>
        </w:rPr>
        <w:t>-</w:t>
      </w:r>
      <w:r w:rsidR="006D75B7" w:rsidRPr="00466587">
        <w:t xml:space="preserve"> </w:t>
      </w:r>
      <w:r w:rsidR="006D75B7" w:rsidRPr="00F46E12">
        <w:rPr>
          <w:i/>
        </w:rPr>
        <w:t>m/z</w:t>
      </w:r>
      <w:r w:rsidR="006D75B7" w:rsidRPr="00950600">
        <w:t xml:space="preserve"> </w:t>
      </w:r>
      <w:r w:rsidR="006D75B7" w:rsidRPr="00466587">
        <w:t>119.0363</w:t>
      </w:r>
      <w:r w:rsidR="006D75B7" w:rsidRPr="00950600">
        <w:t>)</w:t>
      </w:r>
      <w:r w:rsidR="006D75B7">
        <w:t>,</w:t>
      </w:r>
      <w:r w:rsidR="006D75B7" w:rsidRPr="00950600">
        <w:t xml:space="preserve"> HP-0921 (</w:t>
      </w:r>
      <w:r w:rsidR="006D75B7" w:rsidRPr="00466587">
        <w:t>[M</w:t>
      </w:r>
      <w:r w:rsidR="006D75B7">
        <w:t>+COOH]</w:t>
      </w:r>
      <w:r w:rsidR="006D75B7" w:rsidRPr="00F46E12">
        <w:rPr>
          <w:vertAlign w:val="superscript"/>
        </w:rPr>
        <w:t>-</w:t>
      </w:r>
      <w:r w:rsidR="006D75B7" w:rsidRPr="00950600">
        <w:t xml:space="preserve"> </w:t>
      </w:r>
      <w:r w:rsidR="006D75B7" w:rsidRPr="00F46E12">
        <w:rPr>
          <w:i/>
        </w:rPr>
        <w:t>m/z</w:t>
      </w:r>
      <w:r w:rsidR="006D75B7" w:rsidRPr="00950600">
        <w:t xml:space="preserve"> </w:t>
      </w:r>
      <w:r w:rsidR="006D75B7">
        <w:t>966.0007</w:t>
      </w:r>
      <w:r w:rsidR="006D75B7" w:rsidRPr="00950600">
        <w:t>)</w:t>
      </w:r>
      <w:r w:rsidR="006D75B7">
        <w:t>.</w:t>
      </w:r>
      <w:r w:rsidR="00F46E12">
        <w:t xml:space="preserve"> </w:t>
      </w:r>
      <w:r w:rsidR="0077644C">
        <w:t>S</w:t>
      </w:r>
      <w:r w:rsidR="00F46E12">
        <w:t xml:space="preserve">heath and drying gas (Nitrogen purity &gt;99.999%) flows </w:t>
      </w:r>
      <w:r w:rsidR="0077644C">
        <w:t>were</w:t>
      </w:r>
      <w:r w:rsidR="00F46E12" w:rsidRPr="00950600">
        <w:t xml:space="preserve"> 8 L/min and </w:t>
      </w:r>
      <w:r w:rsidR="00EC5845" w:rsidRPr="00950600">
        <w:t>1</w:t>
      </w:r>
      <w:r w:rsidR="00EC5845">
        <w:t>7</w:t>
      </w:r>
      <w:r w:rsidR="00EC5845" w:rsidRPr="00950600">
        <w:t xml:space="preserve"> </w:t>
      </w:r>
      <w:r w:rsidR="00F46E12" w:rsidRPr="00950600">
        <w:t xml:space="preserve">L/min, respectively. </w:t>
      </w:r>
      <w:r w:rsidR="00F46E12">
        <w:t xml:space="preserve">Drying </w:t>
      </w:r>
      <w:r w:rsidR="00F46E12" w:rsidRPr="00950600">
        <w:t xml:space="preserve">and sheath gas </w:t>
      </w:r>
      <w:r w:rsidR="00F46E12">
        <w:t xml:space="preserve">was </w:t>
      </w:r>
      <w:r w:rsidR="00F46E12" w:rsidRPr="00950600">
        <w:t>250 °C, with the nebulizer pressure at 35 psig</w:t>
      </w:r>
      <w:r w:rsidR="00F46E12">
        <w:t xml:space="preserve">, and </w:t>
      </w:r>
      <w:r w:rsidR="00F46E12" w:rsidRPr="00950600">
        <w:t>voltage</w:t>
      </w:r>
      <w:r w:rsidR="00F46E12">
        <w:t>s for positive and negative ionization modes at</w:t>
      </w:r>
      <w:r w:rsidR="00F46E12" w:rsidRPr="00950600">
        <w:t xml:space="preserve"> </w:t>
      </w:r>
      <w:r w:rsidR="00F46E12">
        <w:t>+</w:t>
      </w:r>
      <w:r w:rsidR="00F46E12" w:rsidRPr="00950600">
        <w:t>3000 V</w:t>
      </w:r>
      <w:r w:rsidR="00F46E12">
        <w:t xml:space="preserve"> and -3000 V, respectively</w:t>
      </w:r>
      <w:r w:rsidR="00F46E12" w:rsidRPr="00950600">
        <w:t>.</w:t>
      </w:r>
    </w:p>
    <w:p w14:paraId="05D60572" w14:textId="77777777" w:rsidR="009F7BCD" w:rsidRDefault="009F7BCD" w:rsidP="00F46E12"/>
    <w:p w14:paraId="7E9B9B16" w14:textId="5A9E2776" w:rsidR="009F7BCD" w:rsidRDefault="00803C5A" w:rsidP="00E40858">
      <w:r>
        <w:rPr>
          <w:i/>
        </w:rPr>
        <w:t>ZHP</w:t>
      </w:r>
      <w:r w:rsidR="009F7BCD" w:rsidRPr="00E40858">
        <w:rPr>
          <w:i/>
        </w:rPr>
        <w:t xml:space="preserve"> analysis.</w:t>
      </w:r>
      <w:r w:rsidR="009F7BCD">
        <w:t xml:space="preserve"> For polar metabolites separation, </w:t>
      </w:r>
      <w:r w:rsidR="003A445D">
        <w:t xml:space="preserve">2 </w:t>
      </w:r>
      <w:r w:rsidR="003A445D" w:rsidRPr="00386F1E">
        <w:rPr>
          <w:rFonts w:ascii="Symbol" w:hAnsi="Symbol"/>
        </w:rPr>
        <w:t></w:t>
      </w:r>
      <w:r w:rsidR="003A445D">
        <w:t>L</w:t>
      </w:r>
      <w:r w:rsidR="006D75B7">
        <w:t xml:space="preserve"> of sample was injected onto a </w:t>
      </w:r>
      <w:r w:rsidR="009F7BCD" w:rsidRPr="006D556D">
        <w:t xml:space="preserve">HILIC </w:t>
      </w:r>
      <w:proofErr w:type="spellStart"/>
      <w:r w:rsidR="009F7BCD" w:rsidRPr="006D556D">
        <w:t>SeQuant</w:t>
      </w:r>
      <w:proofErr w:type="spellEnd"/>
      <w:r w:rsidR="009F7BCD" w:rsidRPr="006D556D">
        <w:t>® ZIC®-HILIC column (100 mm × 2.1 mm, 100 Å</w:t>
      </w:r>
      <w:r w:rsidR="009F7BCD">
        <w:t>,</w:t>
      </w:r>
      <w:r w:rsidR="009F7BCD" w:rsidRPr="006D556D">
        <w:t xml:space="preserve"> 3.5 µm particle size</w:t>
      </w:r>
      <w:r w:rsidR="009F7BCD">
        <w:t xml:space="preserve">, </w:t>
      </w:r>
      <w:r w:rsidR="009F7BCD" w:rsidRPr="006D556D">
        <w:t xml:space="preserve">Merck, Darmstadt, Germany) </w:t>
      </w:r>
      <w:r w:rsidR="006D75B7">
        <w:t>maintained at 25</w:t>
      </w:r>
      <w:r w:rsidR="003A445D">
        <w:rPr>
          <w:rFonts w:ascii="Cambria" w:hAnsi="Cambria"/>
        </w:rPr>
        <w:t>°</w:t>
      </w:r>
      <w:r w:rsidR="006D75B7">
        <w:t>C.</w:t>
      </w:r>
      <w:r w:rsidR="00E40858">
        <w:t xml:space="preserve"> </w:t>
      </w:r>
      <w:r w:rsidR="006D75B7">
        <w:t xml:space="preserve">Separation occurred using </w:t>
      </w:r>
      <w:r w:rsidR="00E40858">
        <w:t>Mobile phase A consisted of water with 0.1% formic acid and Mobile phase B consisted of Acetonit</w:t>
      </w:r>
      <w:r w:rsidR="006D75B7">
        <w:t>rile with 0.1% form</w:t>
      </w:r>
      <w:r w:rsidR="003A445D">
        <w:t>ic acid at a flow rate of 0.3 mL</w:t>
      </w:r>
      <w:r w:rsidR="006D75B7">
        <w:t>/min as described in Table 1. Data was acquired with a mass range of 4</w:t>
      </w:r>
      <w:r w:rsidR="006D75B7" w:rsidRPr="00950600">
        <w:t xml:space="preserve">0-1200 </w:t>
      </w:r>
      <w:r w:rsidR="006D75B7" w:rsidRPr="00B5517E">
        <w:rPr>
          <w:i/>
        </w:rPr>
        <w:t>m/z</w:t>
      </w:r>
    </w:p>
    <w:p w14:paraId="32998F6F" w14:textId="77777777" w:rsidR="006D75B7" w:rsidRDefault="006D75B7" w:rsidP="00E40858"/>
    <w:p w14:paraId="4820534A" w14:textId="77777777" w:rsidR="006D75B7" w:rsidRDefault="006D75B7" w:rsidP="00C40B93">
      <w:pPr>
        <w:outlineLvl w:val="0"/>
      </w:pPr>
      <w:r>
        <w:t>Table 1. HILIC separation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560"/>
      </w:tblGrid>
      <w:tr w:rsidR="006D75B7" w:rsidRPr="00124538" w14:paraId="581000B8" w14:textId="77777777" w:rsidTr="006D75B7">
        <w:trPr>
          <w:trHeight w:val="311"/>
        </w:trPr>
        <w:tc>
          <w:tcPr>
            <w:tcW w:w="1384" w:type="dxa"/>
            <w:shd w:val="clear" w:color="auto" w:fill="auto"/>
          </w:tcPr>
          <w:p w14:paraId="1B28200B" w14:textId="77777777" w:rsidR="006D75B7" w:rsidRPr="00CA3CAA" w:rsidRDefault="006D75B7" w:rsidP="006D75B7">
            <w:pPr>
              <w:rPr>
                <w:rFonts w:cs="Arial"/>
                <w:b/>
              </w:rPr>
            </w:pPr>
            <w:r w:rsidRPr="00CA3CAA">
              <w:rPr>
                <w:rFonts w:cs="Arial"/>
                <w:b/>
              </w:rPr>
              <w:t>Time [min]</w:t>
            </w:r>
          </w:p>
        </w:tc>
        <w:tc>
          <w:tcPr>
            <w:tcW w:w="1559" w:type="dxa"/>
            <w:shd w:val="clear" w:color="auto" w:fill="auto"/>
          </w:tcPr>
          <w:p w14:paraId="6D61F785" w14:textId="77777777" w:rsidR="006D75B7" w:rsidRPr="00CA3CAA" w:rsidRDefault="006D75B7" w:rsidP="006D75B7">
            <w:pPr>
              <w:rPr>
                <w:rFonts w:cs="Arial"/>
                <w:b/>
              </w:rPr>
            </w:pPr>
            <w:r w:rsidRPr="00CA3CAA">
              <w:rPr>
                <w:rFonts w:cs="Arial"/>
                <w:b/>
              </w:rPr>
              <w:t>Solvent A %</w:t>
            </w:r>
          </w:p>
        </w:tc>
        <w:tc>
          <w:tcPr>
            <w:tcW w:w="1560" w:type="dxa"/>
            <w:shd w:val="clear" w:color="auto" w:fill="auto"/>
          </w:tcPr>
          <w:p w14:paraId="6261ABFD" w14:textId="77777777" w:rsidR="006D75B7" w:rsidRPr="00CA3CAA" w:rsidRDefault="006D75B7" w:rsidP="006D75B7">
            <w:pPr>
              <w:rPr>
                <w:rFonts w:cs="Arial"/>
                <w:b/>
              </w:rPr>
            </w:pPr>
            <w:r w:rsidRPr="00CA3CAA">
              <w:rPr>
                <w:rFonts w:cs="Arial"/>
                <w:b/>
              </w:rPr>
              <w:t xml:space="preserve">Solvent B % </w:t>
            </w:r>
          </w:p>
        </w:tc>
      </w:tr>
      <w:tr w:rsidR="006D75B7" w:rsidRPr="00124538" w14:paraId="7CDB10FD" w14:textId="77777777" w:rsidTr="006D75B7">
        <w:trPr>
          <w:trHeight w:val="274"/>
        </w:trPr>
        <w:tc>
          <w:tcPr>
            <w:tcW w:w="1384" w:type="dxa"/>
            <w:shd w:val="clear" w:color="auto" w:fill="auto"/>
          </w:tcPr>
          <w:p w14:paraId="78F87DB0" w14:textId="77777777" w:rsidR="006D75B7" w:rsidRPr="00124538" w:rsidRDefault="006D75B7" w:rsidP="006D75B7">
            <w:pPr>
              <w:ind w:left="317"/>
              <w:rPr>
                <w:rFonts w:cs="Arial"/>
              </w:rPr>
            </w:pPr>
            <w:r w:rsidRPr="00124538">
              <w:rPr>
                <w:rFonts w:cs="Arial"/>
              </w:rPr>
              <w:t>0</w:t>
            </w:r>
          </w:p>
        </w:tc>
        <w:tc>
          <w:tcPr>
            <w:tcW w:w="1559" w:type="dxa"/>
            <w:shd w:val="clear" w:color="auto" w:fill="auto"/>
          </w:tcPr>
          <w:p w14:paraId="6FFAC9E3" w14:textId="77777777" w:rsidR="006D75B7" w:rsidRPr="00124538" w:rsidRDefault="006D75B7" w:rsidP="006D75B7">
            <w:pPr>
              <w:rPr>
                <w:rFonts w:cs="Arial"/>
              </w:rPr>
            </w:pPr>
            <w:r w:rsidRPr="00124538">
              <w:rPr>
                <w:rFonts w:cs="Arial"/>
              </w:rPr>
              <w:t>5</w:t>
            </w:r>
          </w:p>
        </w:tc>
        <w:tc>
          <w:tcPr>
            <w:tcW w:w="1560" w:type="dxa"/>
            <w:shd w:val="clear" w:color="auto" w:fill="auto"/>
          </w:tcPr>
          <w:p w14:paraId="031FFA89" w14:textId="77777777" w:rsidR="006D75B7" w:rsidRPr="00124538" w:rsidRDefault="006D75B7" w:rsidP="006D75B7">
            <w:pPr>
              <w:rPr>
                <w:rFonts w:cs="Arial"/>
              </w:rPr>
            </w:pPr>
            <w:r w:rsidRPr="00124538">
              <w:rPr>
                <w:rFonts w:cs="Arial"/>
              </w:rPr>
              <w:t>95</w:t>
            </w:r>
          </w:p>
        </w:tc>
      </w:tr>
      <w:tr w:rsidR="006D75B7" w:rsidRPr="00124538" w14:paraId="5902CEC6" w14:textId="77777777" w:rsidTr="006D75B7">
        <w:trPr>
          <w:trHeight w:val="264"/>
        </w:trPr>
        <w:tc>
          <w:tcPr>
            <w:tcW w:w="1384" w:type="dxa"/>
            <w:shd w:val="clear" w:color="auto" w:fill="auto"/>
          </w:tcPr>
          <w:p w14:paraId="7B27B517" w14:textId="77777777" w:rsidR="006D75B7" w:rsidRPr="00124538" w:rsidRDefault="006D75B7" w:rsidP="006D75B7">
            <w:pPr>
              <w:ind w:left="317"/>
              <w:rPr>
                <w:rFonts w:cs="Arial"/>
              </w:rPr>
            </w:pPr>
            <w:r w:rsidRPr="00124538">
              <w:rPr>
                <w:rFonts w:cs="Arial"/>
              </w:rPr>
              <w:t>1.5</w:t>
            </w:r>
          </w:p>
        </w:tc>
        <w:tc>
          <w:tcPr>
            <w:tcW w:w="1559" w:type="dxa"/>
            <w:shd w:val="clear" w:color="auto" w:fill="auto"/>
          </w:tcPr>
          <w:p w14:paraId="3D5B3BF3" w14:textId="77777777" w:rsidR="006D75B7" w:rsidRPr="00124538" w:rsidRDefault="006D75B7" w:rsidP="006D75B7">
            <w:pPr>
              <w:rPr>
                <w:rFonts w:cs="Arial"/>
              </w:rPr>
            </w:pPr>
            <w:r w:rsidRPr="00124538">
              <w:rPr>
                <w:rFonts w:cs="Arial"/>
              </w:rPr>
              <w:t>5</w:t>
            </w:r>
          </w:p>
        </w:tc>
        <w:tc>
          <w:tcPr>
            <w:tcW w:w="1560" w:type="dxa"/>
            <w:shd w:val="clear" w:color="auto" w:fill="auto"/>
          </w:tcPr>
          <w:p w14:paraId="7017B835" w14:textId="77777777" w:rsidR="006D75B7" w:rsidRPr="00124538" w:rsidRDefault="006D75B7" w:rsidP="006D75B7">
            <w:pPr>
              <w:rPr>
                <w:rFonts w:cs="Arial"/>
              </w:rPr>
            </w:pPr>
            <w:r w:rsidRPr="00124538">
              <w:rPr>
                <w:rFonts w:cs="Arial"/>
              </w:rPr>
              <w:t>95</w:t>
            </w:r>
          </w:p>
        </w:tc>
      </w:tr>
      <w:tr w:rsidR="006D75B7" w:rsidRPr="00124538" w14:paraId="28FD35E6" w14:textId="77777777" w:rsidTr="006D75B7">
        <w:trPr>
          <w:trHeight w:val="264"/>
        </w:trPr>
        <w:tc>
          <w:tcPr>
            <w:tcW w:w="1384" w:type="dxa"/>
            <w:shd w:val="clear" w:color="auto" w:fill="auto"/>
          </w:tcPr>
          <w:p w14:paraId="5BC37624" w14:textId="77777777" w:rsidR="006D75B7" w:rsidRPr="00124538" w:rsidRDefault="006D75B7" w:rsidP="006D75B7">
            <w:pPr>
              <w:ind w:left="317"/>
              <w:rPr>
                <w:rFonts w:cs="Arial"/>
              </w:rPr>
            </w:pPr>
            <w:r w:rsidRPr="00124538">
              <w:rPr>
                <w:rFonts w:cs="Arial"/>
              </w:rPr>
              <w:t>12</w:t>
            </w:r>
          </w:p>
        </w:tc>
        <w:tc>
          <w:tcPr>
            <w:tcW w:w="1559" w:type="dxa"/>
            <w:shd w:val="clear" w:color="auto" w:fill="auto"/>
          </w:tcPr>
          <w:p w14:paraId="749838B6" w14:textId="77777777" w:rsidR="006D75B7" w:rsidRPr="00124538" w:rsidRDefault="006D75B7" w:rsidP="006D75B7">
            <w:pPr>
              <w:rPr>
                <w:rFonts w:cs="Arial"/>
              </w:rPr>
            </w:pPr>
            <w:r w:rsidRPr="00124538">
              <w:rPr>
                <w:rFonts w:cs="Arial"/>
              </w:rPr>
              <w:t>60</w:t>
            </w:r>
          </w:p>
        </w:tc>
        <w:tc>
          <w:tcPr>
            <w:tcW w:w="1560" w:type="dxa"/>
            <w:shd w:val="clear" w:color="auto" w:fill="auto"/>
          </w:tcPr>
          <w:p w14:paraId="0EC4A511" w14:textId="77777777" w:rsidR="006D75B7" w:rsidRPr="00124538" w:rsidRDefault="006D75B7" w:rsidP="006D75B7">
            <w:pPr>
              <w:rPr>
                <w:rFonts w:cs="Arial"/>
              </w:rPr>
            </w:pPr>
            <w:r w:rsidRPr="00124538">
              <w:rPr>
                <w:rFonts w:cs="Arial"/>
              </w:rPr>
              <w:t>40</w:t>
            </w:r>
          </w:p>
        </w:tc>
      </w:tr>
      <w:tr w:rsidR="006D75B7" w:rsidRPr="00124538" w14:paraId="55F71BDE" w14:textId="77777777" w:rsidTr="006D75B7">
        <w:trPr>
          <w:trHeight w:val="264"/>
        </w:trPr>
        <w:tc>
          <w:tcPr>
            <w:tcW w:w="1384" w:type="dxa"/>
            <w:shd w:val="clear" w:color="auto" w:fill="auto"/>
          </w:tcPr>
          <w:p w14:paraId="15097F4A" w14:textId="77777777" w:rsidR="006D75B7" w:rsidRPr="00124538" w:rsidRDefault="006D75B7" w:rsidP="006D75B7">
            <w:pPr>
              <w:ind w:left="317"/>
              <w:rPr>
                <w:rFonts w:cs="Arial"/>
              </w:rPr>
            </w:pPr>
            <w:r w:rsidRPr="00124538">
              <w:rPr>
                <w:rFonts w:cs="Arial"/>
              </w:rPr>
              <w:t>14</w:t>
            </w:r>
          </w:p>
        </w:tc>
        <w:tc>
          <w:tcPr>
            <w:tcW w:w="1559" w:type="dxa"/>
            <w:shd w:val="clear" w:color="auto" w:fill="auto"/>
          </w:tcPr>
          <w:p w14:paraId="2864FF58" w14:textId="77777777" w:rsidR="006D75B7" w:rsidRPr="00124538" w:rsidRDefault="006D75B7" w:rsidP="006D75B7">
            <w:pPr>
              <w:rPr>
                <w:rFonts w:cs="Arial"/>
              </w:rPr>
            </w:pPr>
            <w:r w:rsidRPr="00124538">
              <w:rPr>
                <w:rFonts w:cs="Arial"/>
              </w:rPr>
              <w:t>60</w:t>
            </w:r>
          </w:p>
        </w:tc>
        <w:tc>
          <w:tcPr>
            <w:tcW w:w="1560" w:type="dxa"/>
            <w:shd w:val="clear" w:color="auto" w:fill="auto"/>
          </w:tcPr>
          <w:p w14:paraId="45A4950E" w14:textId="77777777" w:rsidR="006D75B7" w:rsidRPr="00124538" w:rsidRDefault="006D75B7" w:rsidP="006D75B7">
            <w:pPr>
              <w:rPr>
                <w:rFonts w:cs="Arial"/>
              </w:rPr>
            </w:pPr>
            <w:r w:rsidRPr="00124538">
              <w:rPr>
                <w:rFonts w:cs="Arial"/>
              </w:rPr>
              <w:t>40</w:t>
            </w:r>
          </w:p>
        </w:tc>
      </w:tr>
      <w:tr w:rsidR="006D75B7" w:rsidRPr="00124538" w14:paraId="22C91B4D" w14:textId="77777777" w:rsidTr="006D75B7">
        <w:trPr>
          <w:trHeight w:val="274"/>
        </w:trPr>
        <w:tc>
          <w:tcPr>
            <w:tcW w:w="1384" w:type="dxa"/>
            <w:shd w:val="clear" w:color="auto" w:fill="auto"/>
          </w:tcPr>
          <w:p w14:paraId="03F4EF11" w14:textId="77777777" w:rsidR="006D75B7" w:rsidRPr="00124538" w:rsidRDefault="006D75B7" w:rsidP="006D75B7">
            <w:pPr>
              <w:ind w:left="317"/>
              <w:rPr>
                <w:rFonts w:cs="Arial"/>
              </w:rPr>
            </w:pPr>
            <w:r w:rsidRPr="00124538">
              <w:rPr>
                <w:rFonts w:cs="Arial"/>
              </w:rPr>
              <w:t>14.2</w:t>
            </w:r>
          </w:p>
        </w:tc>
        <w:tc>
          <w:tcPr>
            <w:tcW w:w="1559" w:type="dxa"/>
            <w:shd w:val="clear" w:color="auto" w:fill="auto"/>
          </w:tcPr>
          <w:p w14:paraId="6684035D" w14:textId="77777777" w:rsidR="006D75B7" w:rsidRPr="00124538" w:rsidRDefault="006D75B7" w:rsidP="006D75B7">
            <w:pPr>
              <w:rPr>
                <w:rFonts w:cs="Arial"/>
              </w:rPr>
            </w:pPr>
            <w:r w:rsidRPr="00124538">
              <w:rPr>
                <w:rFonts w:cs="Arial"/>
              </w:rPr>
              <w:t>75</w:t>
            </w:r>
          </w:p>
        </w:tc>
        <w:tc>
          <w:tcPr>
            <w:tcW w:w="1560" w:type="dxa"/>
            <w:shd w:val="clear" w:color="auto" w:fill="auto"/>
          </w:tcPr>
          <w:p w14:paraId="7181FCB8" w14:textId="77777777" w:rsidR="006D75B7" w:rsidRPr="00124538" w:rsidRDefault="006D75B7" w:rsidP="006D75B7">
            <w:pPr>
              <w:rPr>
                <w:rFonts w:cs="Arial"/>
              </w:rPr>
            </w:pPr>
            <w:r w:rsidRPr="00124538">
              <w:rPr>
                <w:rFonts w:cs="Arial"/>
              </w:rPr>
              <w:t>25</w:t>
            </w:r>
          </w:p>
        </w:tc>
      </w:tr>
      <w:tr w:rsidR="006D75B7" w:rsidRPr="00124538" w14:paraId="3166BB53" w14:textId="77777777" w:rsidTr="006D75B7">
        <w:trPr>
          <w:trHeight w:val="264"/>
        </w:trPr>
        <w:tc>
          <w:tcPr>
            <w:tcW w:w="1384" w:type="dxa"/>
            <w:shd w:val="clear" w:color="auto" w:fill="auto"/>
          </w:tcPr>
          <w:p w14:paraId="18292793" w14:textId="77777777" w:rsidR="006D75B7" w:rsidRPr="00124538" w:rsidRDefault="006D75B7" w:rsidP="006D75B7">
            <w:pPr>
              <w:ind w:left="317"/>
              <w:rPr>
                <w:rFonts w:cs="Arial"/>
              </w:rPr>
            </w:pPr>
            <w:r w:rsidRPr="00124538">
              <w:rPr>
                <w:rFonts w:cs="Arial"/>
              </w:rPr>
              <w:t>17</w:t>
            </w:r>
          </w:p>
        </w:tc>
        <w:tc>
          <w:tcPr>
            <w:tcW w:w="1559" w:type="dxa"/>
            <w:shd w:val="clear" w:color="auto" w:fill="auto"/>
          </w:tcPr>
          <w:p w14:paraId="7DDFFAA1" w14:textId="77777777" w:rsidR="006D75B7" w:rsidRPr="00124538" w:rsidRDefault="006D75B7" w:rsidP="006D75B7">
            <w:pPr>
              <w:rPr>
                <w:rFonts w:cs="Arial"/>
              </w:rPr>
            </w:pPr>
            <w:r w:rsidRPr="00124538">
              <w:rPr>
                <w:rFonts w:cs="Arial"/>
              </w:rPr>
              <w:t>75</w:t>
            </w:r>
          </w:p>
        </w:tc>
        <w:tc>
          <w:tcPr>
            <w:tcW w:w="1560" w:type="dxa"/>
            <w:shd w:val="clear" w:color="auto" w:fill="auto"/>
          </w:tcPr>
          <w:p w14:paraId="149EF697" w14:textId="77777777" w:rsidR="006D75B7" w:rsidRPr="00124538" w:rsidRDefault="006D75B7" w:rsidP="006D75B7">
            <w:pPr>
              <w:rPr>
                <w:rFonts w:cs="Arial"/>
              </w:rPr>
            </w:pPr>
            <w:r w:rsidRPr="00124538">
              <w:rPr>
                <w:rFonts w:cs="Arial"/>
              </w:rPr>
              <w:t>25</w:t>
            </w:r>
          </w:p>
        </w:tc>
      </w:tr>
      <w:tr w:rsidR="006D75B7" w:rsidRPr="00124538" w14:paraId="4F710D5F" w14:textId="77777777" w:rsidTr="006D75B7">
        <w:trPr>
          <w:trHeight w:val="264"/>
        </w:trPr>
        <w:tc>
          <w:tcPr>
            <w:tcW w:w="1384" w:type="dxa"/>
            <w:shd w:val="clear" w:color="auto" w:fill="auto"/>
          </w:tcPr>
          <w:p w14:paraId="4D2D2908" w14:textId="77777777" w:rsidR="006D75B7" w:rsidRPr="00124538" w:rsidRDefault="006D75B7" w:rsidP="006D75B7">
            <w:pPr>
              <w:ind w:left="317"/>
              <w:rPr>
                <w:rFonts w:cs="Arial"/>
              </w:rPr>
            </w:pPr>
            <w:r w:rsidRPr="00124538">
              <w:rPr>
                <w:rFonts w:cs="Arial"/>
              </w:rPr>
              <w:t>18</w:t>
            </w:r>
          </w:p>
        </w:tc>
        <w:tc>
          <w:tcPr>
            <w:tcW w:w="1559" w:type="dxa"/>
            <w:shd w:val="clear" w:color="auto" w:fill="auto"/>
          </w:tcPr>
          <w:p w14:paraId="588BF57E" w14:textId="77777777" w:rsidR="006D75B7" w:rsidRPr="00124538" w:rsidRDefault="006D75B7" w:rsidP="006D75B7">
            <w:pPr>
              <w:rPr>
                <w:rFonts w:cs="Arial"/>
              </w:rPr>
            </w:pPr>
            <w:r w:rsidRPr="00124538">
              <w:rPr>
                <w:rFonts w:cs="Arial"/>
              </w:rPr>
              <w:t>5</w:t>
            </w:r>
          </w:p>
        </w:tc>
        <w:tc>
          <w:tcPr>
            <w:tcW w:w="1560" w:type="dxa"/>
            <w:shd w:val="clear" w:color="auto" w:fill="auto"/>
          </w:tcPr>
          <w:p w14:paraId="0C55B799" w14:textId="77777777" w:rsidR="006D75B7" w:rsidRPr="00124538" w:rsidRDefault="006D75B7" w:rsidP="006D75B7">
            <w:pPr>
              <w:rPr>
                <w:rFonts w:cs="Arial"/>
              </w:rPr>
            </w:pPr>
            <w:r w:rsidRPr="00124538">
              <w:rPr>
                <w:rFonts w:cs="Arial"/>
              </w:rPr>
              <w:t>95</w:t>
            </w:r>
          </w:p>
        </w:tc>
      </w:tr>
      <w:tr w:rsidR="006D75B7" w:rsidRPr="00124538" w14:paraId="5C315B9F" w14:textId="77777777" w:rsidTr="006D75B7">
        <w:trPr>
          <w:trHeight w:val="264"/>
        </w:trPr>
        <w:tc>
          <w:tcPr>
            <w:tcW w:w="1384" w:type="dxa"/>
            <w:shd w:val="clear" w:color="auto" w:fill="auto"/>
          </w:tcPr>
          <w:p w14:paraId="3F1AD678" w14:textId="77777777" w:rsidR="006D75B7" w:rsidRPr="00124538" w:rsidRDefault="006D75B7" w:rsidP="006D75B7">
            <w:pPr>
              <w:ind w:left="317"/>
              <w:rPr>
                <w:rFonts w:cs="Arial"/>
              </w:rPr>
            </w:pPr>
            <w:r w:rsidRPr="00124538">
              <w:rPr>
                <w:rFonts w:cs="Arial"/>
              </w:rPr>
              <w:t>25</w:t>
            </w:r>
          </w:p>
        </w:tc>
        <w:tc>
          <w:tcPr>
            <w:tcW w:w="1559" w:type="dxa"/>
            <w:shd w:val="clear" w:color="auto" w:fill="auto"/>
          </w:tcPr>
          <w:p w14:paraId="03A29516" w14:textId="77777777" w:rsidR="006D75B7" w:rsidRPr="00124538" w:rsidRDefault="006D75B7" w:rsidP="006D75B7">
            <w:pPr>
              <w:rPr>
                <w:rFonts w:cs="Arial"/>
              </w:rPr>
            </w:pPr>
            <w:r w:rsidRPr="00124538">
              <w:rPr>
                <w:rFonts w:cs="Arial"/>
              </w:rPr>
              <w:t>5</w:t>
            </w:r>
          </w:p>
        </w:tc>
        <w:tc>
          <w:tcPr>
            <w:tcW w:w="1560" w:type="dxa"/>
            <w:shd w:val="clear" w:color="auto" w:fill="auto"/>
          </w:tcPr>
          <w:p w14:paraId="0F3E1827" w14:textId="77777777" w:rsidR="006D75B7" w:rsidRPr="00EB5288" w:rsidRDefault="006D75B7" w:rsidP="006D75B7">
            <w:pPr>
              <w:rPr>
                <w:rFonts w:cs="Arial"/>
              </w:rPr>
            </w:pPr>
            <w:r w:rsidRPr="00124538">
              <w:rPr>
                <w:rFonts w:cs="Arial"/>
              </w:rPr>
              <w:t>95</w:t>
            </w:r>
          </w:p>
        </w:tc>
      </w:tr>
    </w:tbl>
    <w:p w14:paraId="6C94B93A" w14:textId="77777777" w:rsidR="006D75B7" w:rsidRDefault="006D75B7" w:rsidP="00E40858"/>
    <w:p w14:paraId="2092D770" w14:textId="21A4476D" w:rsidR="00F46E12" w:rsidRDefault="00F46E12" w:rsidP="00F46E12">
      <w:r>
        <w:rPr>
          <w:i/>
        </w:rPr>
        <w:t>R</w:t>
      </w:r>
      <w:r w:rsidR="008236D7">
        <w:rPr>
          <w:i/>
        </w:rPr>
        <w:t>PN</w:t>
      </w:r>
      <w:r>
        <w:rPr>
          <w:i/>
        </w:rPr>
        <w:t xml:space="preserve"> </w:t>
      </w:r>
      <w:r w:rsidRPr="00E40858">
        <w:rPr>
          <w:i/>
        </w:rPr>
        <w:t>analysis</w:t>
      </w:r>
      <w:r>
        <w:rPr>
          <w:i/>
        </w:rPr>
        <w:t>:</w:t>
      </w:r>
      <w:r>
        <w:t xml:space="preserve"> For </w:t>
      </w:r>
      <w:r w:rsidR="002D24F4">
        <w:t>nonpolar</w:t>
      </w:r>
      <w:r>
        <w:t xml:space="preserve"> metabolites separation, 2 </w:t>
      </w:r>
      <w:r w:rsidR="00C010F2" w:rsidRPr="00386F1E">
        <w:rPr>
          <w:rFonts w:ascii="Symbol" w:hAnsi="Symbol"/>
        </w:rPr>
        <w:t></w:t>
      </w:r>
      <w:r>
        <w:t xml:space="preserve">L of sample </w:t>
      </w:r>
      <w:r w:rsidR="003A445D">
        <w:t xml:space="preserve">sandwiched between 10 </w:t>
      </w:r>
      <w:r w:rsidR="003A445D" w:rsidRPr="00386F1E">
        <w:rPr>
          <w:rFonts w:ascii="Symbol" w:hAnsi="Symbol"/>
        </w:rPr>
        <w:t></w:t>
      </w:r>
      <w:r w:rsidR="003506E7">
        <w:t xml:space="preserve">L </w:t>
      </w:r>
      <w:r w:rsidR="008754F3">
        <w:t xml:space="preserve">of water </w:t>
      </w:r>
      <w:r>
        <w:t xml:space="preserve">was injected onto a </w:t>
      </w:r>
      <w:proofErr w:type="spellStart"/>
      <w:r w:rsidRPr="006D556D">
        <w:t>Zorbax</w:t>
      </w:r>
      <w:proofErr w:type="spellEnd"/>
      <w:r w:rsidRPr="006D556D">
        <w:t xml:space="preserve"> Eclipse Plus C18, RRHD column (</w:t>
      </w:r>
      <w:r>
        <w:t>50</w:t>
      </w:r>
      <w:r w:rsidRPr="006D556D">
        <w:t xml:space="preserve"> mm × 2.1 mm, 1.8 µm particle size</w:t>
      </w:r>
      <w:r>
        <w:t>, Agilent Technologies, Santa Clara, USA</w:t>
      </w:r>
      <w:r w:rsidRPr="006D556D">
        <w:t xml:space="preserve">) coupled to a guard column (5 mm × 2 mm, 1.8 µm </w:t>
      </w:r>
      <w:r>
        <w:t xml:space="preserve">Agilent Technologies, Santa Clara, </w:t>
      </w:r>
      <w:r>
        <w:lastRenderedPageBreak/>
        <w:t>USA</w:t>
      </w:r>
      <w:r w:rsidRPr="006D556D">
        <w:t>)</w:t>
      </w:r>
      <w:r>
        <w:t xml:space="preserve"> maintained at 50</w:t>
      </w:r>
      <w:r w:rsidR="003506E7" w:rsidRPr="00950600">
        <w:t>°</w:t>
      </w:r>
      <w:r>
        <w:t>C. Separation occurred using Mobile phase A consisted of water with 0.1% formic acid and Mobile phase B consisted of 2-propanol</w:t>
      </w:r>
      <w:proofErr w:type="gramStart"/>
      <w:r>
        <w:t>:ACN</w:t>
      </w:r>
      <w:proofErr w:type="gramEnd"/>
      <w:r>
        <w:t xml:space="preserve"> </w:t>
      </w:r>
      <w:r w:rsidRPr="006D556D">
        <w:t xml:space="preserve">(90:10, </w:t>
      </w:r>
      <w:r w:rsidRPr="007C49FB">
        <w:rPr>
          <w:i/>
        </w:rPr>
        <w:t>v/v</w:t>
      </w:r>
      <w:r w:rsidRPr="006D556D">
        <w:t>)</w:t>
      </w:r>
      <w:r>
        <w:t xml:space="preserve"> with 0.1% formic acid at a flow rate of 0.</w:t>
      </w:r>
      <w:r w:rsidR="00913486">
        <w:t xml:space="preserve">4 </w:t>
      </w:r>
      <w:r w:rsidR="003A445D">
        <w:t>mL/</w:t>
      </w:r>
      <w:r>
        <w:t>min as described in Table 2. Data was acquired with a mass range of 5</w:t>
      </w:r>
      <w:r w:rsidRPr="00950600">
        <w:t xml:space="preserve">0-1200 </w:t>
      </w:r>
      <w:r w:rsidRPr="00B5517E">
        <w:rPr>
          <w:i/>
        </w:rPr>
        <w:t>m/z</w:t>
      </w:r>
    </w:p>
    <w:p w14:paraId="3C5FB6C9" w14:textId="77777777" w:rsidR="00F46E12" w:rsidRDefault="00F46E12" w:rsidP="00F46E12"/>
    <w:p w14:paraId="3EF4015B" w14:textId="77777777" w:rsidR="00F46E12" w:rsidRDefault="00F46E12" w:rsidP="00C40B93">
      <w:pPr>
        <w:spacing w:line="360" w:lineRule="auto"/>
        <w:outlineLvl w:val="0"/>
      </w:pPr>
      <w:r w:rsidRPr="00B5517E">
        <w:rPr>
          <w:b/>
        </w:rPr>
        <w:t xml:space="preserve">Table </w:t>
      </w:r>
      <w:r>
        <w:rPr>
          <w:b/>
        </w:rPr>
        <w:t>2</w:t>
      </w:r>
      <w:r w:rsidRPr="00B5517E">
        <w:rPr>
          <w:b/>
        </w:rPr>
        <w:t>.</w:t>
      </w:r>
      <w:r>
        <w:t xml:space="preserve"> Gradient settings for RP chromatography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560"/>
      </w:tblGrid>
      <w:tr w:rsidR="00F46E12" w:rsidRPr="00CA3CAA" w14:paraId="35FC0968" w14:textId="77777777" w:rsidTr="00952579">
        <w:trPr>
          <w:trHeight w:val="332"/>
        </w:trPr>
        <w:tc>
          <w:tcPr>
            <w:tcW w:w="1384" w:type="dxa"/>
            <w:shd w:val="clear" w:color="auto" w:fill="auto"/>
          </w:tcPr>
          <w:p w14:paraId="31E4CCB6" w14:textId="77777777" w:rsidR="00F46E12" w:rsidRPr="00CA3CAA" w:rsidRDefault="00F46E12" w:rsidP="00952579">
            <w:pPr>
              <w:rPr>
                <w:rFonts w:cs="Arial"/>
                <w:b/>
              </w:rPr>
            </w:pPr>
            <w:r w:rsidRPr="00CA3CAA">
              <w:rPr>
                <w:rFonts w:cs="Arial"/>
                <w:b/>
              </w:rPr>
              <w:t xml:space="preserve">Time [min] </w:t>
            </w:r>
          </w:p>
        </w:tc>
        <w:tc>
          <w:tcPr>
            <w:tcW w:w="1559" w:type="dxa"/>
            <w:shd w:val="clear" w:color="auto" w:fill="auto"/>
          </w:tcPr>
          <w:p w14:paraId="318E34FD" w14:textId="77777777" w:rsidR="00F46E12" w:rsidRPr="00CA3CAA" w:rsidRDefault="00F46E12" w:rsidP="00952579">
            <w:pPr>
              <w:rPr>
                <w:rFonts w:cs="Arial"/>
                <w:b/>
              </w:rPr>
            </w:pPr>
            <w:r w:rsidRPr="00CA3CAA">
              <w:rPr>
                <w:rFonts w:cs="Arial"/>
                <w:b/>
              </w:rPr>
              <w:t xml:space="preserve">Solvent A % </w:t>
            </w:r>
          </w:p>
        </w:tc>
        <w:tc>
          <w:tcPr>
            <w:tcW w:w="1560" w:type="dxa"/>
            <w:shd w:val="clear" w:color="auto" w:fill="auto"/>
          </w:tcPr>
          <w:p w14:paraId="3793A3B4" w14:textId="77777777" w:rsidR="00F46E12" w:rsidRPr="00CA3CAA" w:rsidRDefault="00F46E12" w:rsidP="00952579">
            <w:pPr>
              <w:rPr>
                <w:rFonts w:cs="Arial"/>
                <w:b/>
              </w:rPr>
            </w:pPr>
            <w:r w:rsidRPr="00CA3CAA">
              <w:rPr>
                <w:rFonts w:cs="Arial"/>
                <w:b/>
              </w:rPr>
              <w:t>Solvent B %</w:t>
            </w:r>
          </w:p>
        </w:tc>
      </w:tr>
      <w:tr w:rsidR="00F46E12" w:rsidRPr="00124538" w14:paraId="3F2D24CF" w14:textId="77777777" w:rsidTr="00952579">
        <w:trPr>
          <w:trHeight w:val="269"/>
        </w:trPr>
        <w:tc>
          <w:tcPr>
            <w:tcW w:w="1384" w:type="dxa"/>
            <w:shd w:val="clear" w:color="auto" w:fill="auto"/>
          </w:tcPr>
          <w:p w14:paraId="2101AC88" w14:textId="77777777" w:rsidR="00F46E12" w:rsidRPr="00124538" w:rsidRDefault="00F46E12" w:rsidP="00952579">
            <w:pPr>
              <w:ind w:left="317"/>
              <w:rPr>
                <w:rFonts w:cs="Arial"/>
              </w:rPr>
            </w:pPr>
            <w:r w:rsidRPr="00124538">
              <w:rPr>
                <w:rFonts w:cs="Arial"/>
              </w:rPr>
              <w:t>0</w:t>
            </w:r>
          </w:p>
        </w:tc>
        <w:tc>
          <w:tcPr>
            <w:tcW w:w="1559" w:type="dxa"/>
            <w:shd w:val="clear" w:color="auto" w:fill="auto"/>
          </w:tcPr>
          <w:p w14:paraId="58449766" w14:textId="77777777" w:rsidR="00F46E12" w:rsidRPr="00124538" w:rsidRDefault="00F46E12" w:rsidP="00952579">
            <w:pPr>
              <w:rPr>
                <w:rFonts w:cs="Arial"/>
              </w:rPr>
            </w:pPr>
            <w:r>
              <w:rPr>
                <w:rFonts w:cs="Arial"/>
              </w:rPr>
              <w:t>95</w:t>
            </w:r>
          </w:p>
        </w:tc>
        <w:tc>
          <w:tcPr>
            <w:tcW w:w="1560" w:type="dxa"/>
            <w:shd w:val="clear" w:color="auto" w:fill="auto"/>
          </w:tcPr>
          <w:p w14:paraId="5A711485" w14:textId="77777777" w:rsidR="00F46E12" w:rsidRPr="00124538" w:rsidRDefault="00F46E12" w:rsidP="00952579">
            <w:pPr>
              <w:rPr>
                <w:rFonts w:cs="Arial"/>
              </w:rPr>
            </w:pPr>
            <w:r>
              <w:rPr>
                <w:rFonts w:cs="Arial"/>
              </w:rPr>
              <w:t>5</w:t>
            </w:r>
          </w:p>
        </w:tc>
      </w:tr>
      <w:tr w:rsidR="00F46E12" w:rsidRPr="00124538" w14:paraId="31B41BC1" w14:textId="77777777" w:rsidTr="00952579">
        <w:trPr>
          <w:trHeight w:val="264"/>
        </w:trPr>
        <w:tc>
          <w:tcPr>
            <w:tcW w:w="1384" w:type="dxa"/>
            <w:shd w:val="clear" w:color="auto" w:fill="auto"/>
          </w:tcPr>
          <w:p w14:paraId="41E9E1A8" w14:textId="5440BDA3" w:rsidR="00F46E12" w:rsidRPr="00124538" w:rsidRDefault="00913486" w:rsidP="00952579">
            <w:pPr>
              <w:ind w:left="317"/>
              <w:rPr>
                <w:rFonts w:cs="Arial"/>
              </w:rPr>
            </w:pPr>
            <w:r>
              <w:rPr>
                <w:rFonts w:cs="Arial"/>
              </w:rPr>
              <w:t>2</w:t>
            </w:r>
          </w:p>
        </w:tc>
        <w:tc>
          <w:tcPr>
            <w:tcW w:w="1559" w:type="dxa"/>
            <w:shd w:val="clear" w:color="auto" w:fill="auto"/>
          </w:tcPr>
          <w:p w14:paraId="4482B64F" w14:textId="77777777" w:rsidR="00F46E12" w:rsidRPr="00124538" w:rsidRDefault="00F46E12" w:rsidP="00952579">
            <w:pPr>
              <w:rPr>
                <w:rFonts w:cs="Arial"/>
              </w:rPr>
            </w:pPr>
            <w:r>
              <w:rPr>
                <w:rFonts w:cs="Arial"/>
              </w:rPr>
              <w:t>95</w:t>
            </w:r>
          </w:p>
        </w:tc>
        <w:tc>
          <w:tcPr>
            <w:tcW w:w="1560" w:type="dxa"/>
            <w:shd w:val="clear" w:color="auto" w:fill="auto"/>
          </w:tcPr>
          <w:p w14:paraId="6598CB17" w14:textId="77777777" w:rsidR="00F46E12" w:rsidRPr="00124538" w:rsidRDefault="00F46E12" w:rsidP="00952579">
            <w:pPr>
              <w:rPr>
                <w:rFonts w:cs="Arial"/>
              </w:rPr>
            </w:pPr>
            <w:r>
              <w:rPr>
                <w:rFonts w:cs="Arial"/>
              </w:rPr>
              <w:t>5</w:t>
            </w:r>
          </w:p>
        </w:tc>
      </w:tr>
      <w:tr w:rsidR="00F46E12" w:rsidRPr="00124538" w14:paraId="0CEC7D12" w14:textId="77777777" w:rsidTr="00952579">
        <w:trPr>
          <w:trHeight w:val="264"/>
        </w:trPr>
        <w:tc>
          <w:tcPr>
            <w:tcW w:w="1384" w:type="dxa"/>
            <w:shd w:val="clear" w:color="auto" w:fill="auto"/>
          </w:tcPr>
          <w:p w14:paraId="65999241" w14:textId="52B7F4B3" w:rsidR="00F46E12" w:rsidRPr="00124538" w:rsidRDefault="00913486" w:rsidP="00952579">
            <w:pPr>
              <w:ind w:left="317"/>
              <w:rPr>
                <w:rFonts w:cs="Arial"/>
              </w:rPr>
            </w:pPr>
            <w:r>
              <w:rPr>
                <w:rFonts w:cs="Arial"/>
              </w:rPr>
              <w:t>4</w:t>
            </w:r>
          </w:p>
        </w:tc>
        <w:tc>
          <w:tcPr>
            <w:tcW w:w="1559" w:type="dxa"/>
            <w:shd w:val="clear" w:color="auto" w:fill="auto"/>
          </w:tcPr>
          <w:p w14:paraId="4F8CAAF8" w14:textId="77777777" w:rsidR="00F46E12" w:rsidRPr="00124538" w:rsidRDefault="00F46E12" w:rsidP="00952579">
            <w:pPr>
              <w:rPr>
                <w:rFonts w:cs="Arial"/>
              </w:rPr>
            </w:pPr>
            <w:r>
              <w:rPr>
                <w:rFonts w:cs="Arial"/>
              </w:rPr>
              <w:t>70</w:t>
            </w:r>
          </w:p>
        </w:tc>
        <w:tc>
          <w:tcPr>
            <w:tcW w:w="1560" w:type="dxa"/>
            <w:shd w:val="clear" w:color="auto" w:fill="auto"/>
          </w:tcPr>
          <w:p w14:paraId="6287C063" w14:textId="77777777" w:rsidR="00F46E12" w:rsidRPr="00124538" w:rsidRDefault="00F46E12" w:rsidP="00952579">
            <w:pPr>
              <w:rPr>
                <w:rFonts w:cs="Arial"/>
              </w:rPr>
            </w:pPr>
            <w:r>
              <w:rPr>
                <w:rFonts w:cs="Arial"/>
              </w:rPr>
              <w:t>30</w:t>
            </w:r>
          </w:p>
        </w:tc>
      </w:tr>
      <w:tr w:rsidR="00F46E12" w:rsidRPr="00124538" w14:paraId="144C6031" w14:textId="77777777" w:rsidTr="00952579">
        <w:trPr>
          <w:trHeight w:val="264"/>
        </w:trPr>
        <w:tc>
          <w:tcPr>
            <w:tcW w:w="1384" w:type="dxa"/>
            <w:shd w:val="clear" w:color="auto" w:fill="auto"/>
          </w:tcPr>
          <w:p w14:paraId="6786CC9D" w14:textId="763352BD" w:rsidR="00F46E12" w:rsidRPr="00124538" w:rsidRDefault="00913486" w:rsidP="00D10223">
            <w:pPr>
              <w:ind w:left="317"/>
              <w:rPr>
                <w:rFonts w:cs="Arial"/>
              </w:rPr>
            </w:pPr>
            <w:r>
              <w:rPr>
                <w:rFonts w:cs="Arial"/>
              </w:rPr>
              <w:t>13</w:t>
            </w:r>
            <w:r w:rsidR="00F46E12">
              <w:rPr>
                <w:rFonts w:cs="Arial"/>
              </w:rPr>
              <w:t>.5</w:t>
            </w:r>
          </w:p>
        </w:tc>
        <w:tc>
          <w:tcPr>
            <w:tcW w:w="1559" w:type="dxa"/>
            <w:shd w:val="clear" w:color="auto" w:fill="auto"/>
          </w:tcPr>
          <w:p w14:paraId="3964A244" w14:textId="77777777" w:rsidR="00F46E12" w:rsidRPr="00124538" w:rsidRDefault="00F46E12" w:rsidP="00952579">
            <w:pPr>
              <w:rPr>
                <w:rFonts w:cs="Arial"/>
              </w:rPr>
            </w:pPr>
            <w:r>
              <w:rPr>
                <w:rFonts w:cs="Arial"/>
              </w:rPr>
              <w:t>2</w:t>
            </w:r>
          </w:p>
        </w:tc>
        <w:tc>
          <w:tcPr>
            <w:tcW w:w="1560" w:type="dxa"/>
            <w:shd w:val="clear" w:color="auto" w:fill="auto"/>
          </w:tcPr>
          <w:p w14:paraId="64B1CE83" w14:textId="77777777" w:rsidR="00F46E12" w:rsidRPr="00124538" w:rsidRDefault="00F46E12" w:rsidP="00952579">
            <w:pPr>
              <w:rPr>
                <w:rFonts w:cs="Arial"/>
              </w:rPr>
            </w:pPr>
            <w:r>
              <w:rPr>
                <w:rFonts w:cs="Arial"/>
              </w:rPr>
              <w:t>98</w:t>
            </w:r>
          </w:p>
        </w:tc>
      </w:tr>
      <w:tr w:rsidR="00F46E12" w:rsidRPr="00124538" w14:paraId="35EBC732" w14:textId="77777777" w:rsidTr="00952579">
        <w:trPr>
          <w:trHeight w:val="264"/>
        </w:trPr>
        <w:tc>
          <w:tcPr>
            <w:tcW w:w="1384" w:type="dxa"/>
            <w:shd w:val="clear" w:color="auto" w:fill="auto"/>
          </w:tcPr>
          <w:p w14:paraId="51130128" w14:textId="29FA0317" w:rsidR="00F46E12" w:rsidRPr="00124538" w:rsidRDefault="00913486" w:rsidP="00952579">
            <w:pPr>
              <w:ind w:left="317"/>
              <w:rPr>
                <w:rFonts w:cs="Arial"/>
              </w:rPr>
            </w:pPr>
            <w:r>
              <w:rPr>
                <w:rFonts w:cs="Arial"/>
              </w:rPr>
              <w:t>15</w:t>
            </w:r>
          </w:p>
        </w:tc>
        <w:tc>
          <w:tcPr>
            <w:tcW w:w="1559" w:type="dxa"/>
            <w:shd w:val="clear" w:color="auto" w:fill="auto"/>
          </w:tcPr>
          <w:p w14:paraId="61202EB3" w14:textId="77777777" w:rsidR="00F46E12" w:rsidRPr="00124538" w:rsidRDefault="00F46E12" w:rsidP="00952579">
            <w:pPr>
              <w:rPr>
                <w:rFonts w:cs="Arial"/>
              </w:rPr>
            </w:pPr>
            <w:r>
              <w:rPr>
                <w:rFonts w:cs="Arial"/>
              </w:rPr>
              <w:t>2</w:t>
            </w:r>
          </w:p>
        </w:tc>
        <w:tc>
          <w:tcPr>
            <w:tcW w:w="1560" w:type="dxa"/>
            <w:shd w:val="clear" w:color="auto" w:fill="auto"/>
          </w:tcPr>
          <w:p w14:paraId="2AAC7AB2" w14:textId="77777777" w:rsidR="00F46E12" w:rsidRPr="00124538" w:rsidRDefault="00F46E12" w:rsidP="00952579">
            <w:pPr>
              <w:rPr>
                <w:rFonts w:cs="Arial"/>
              </w:rPr>
            </w:pPr>
            <w:r>
              <w:rPr>
                <w:rFonts w:cs="Arial"/>
              </w:rPr>
              <w:t>98</w:t>
            </w:r>
          </w:p>
        </w:tc>
      </w:tr>
      <w:tr w:rsidR="00F46E12" w:rsidRPr="00124538" w14:paraId="7779A0C6" w14:textId="77777777" w:rsidTr="00952579">
        <w:trPr>
          <w:trHeight w:val="264"/>
        </w:trPr>
        <w:tc>
          <w:tcPr>
            <w:tcW w:w="1384" w:type="dxa"/>
            <w:shd w:val="clear" w:color="auto" w:fill="auto"/>
          </w:tcPr>
          <w:p w14:paraId="31459C69" w14:textId="77554884" w:rsidR="00F46E12" w:rsidRPr="00124538" w:rsidRDefault="00913486" w:rsidP="00952579">
            <w:pPr>
              <w:ind w:left="317"/>
              <w:rPr>
                <w:rFonts w:cs="Arial"/>
              </w:rPr>
            </w:pPr>
            <w:r>
              <w:rPr>
                <w:rFonts w:cs="Arial"/>
              </w:rPr>
              <w:t>15</w:t>
            </w:r>
            <w:r w:rsidR="00F46E12">
              <w:rPr>
                <w:rFonts w:cs="Arial"/>
              </w:rPr>
              <w:t>.5</w:t>
            </w:r>
          </w:p>
        </w:tc>
        <w:tc>
          <w:tcPr>
            <w:tcW w:w="1559" w:type="dxa"/>
            <w:shd w:val="clear" w:color="auto" w:fill="auto"/>
          </w:tcPr>
          <w:p w14:paraId="568E3A6A" w14:textId="77777777" w:rsidR="00F46E12" w:rsidRPr="00124538" w:rsidRDefault="00F46E12" w:rsidP="00952579">
            <w:pPr>
              <w:rPr>
                <w:rFonts w:cs="Arial"/>
              </w:rPr>
            </w:pPr>
            <w:r>
              <w:rPr>
                <w:rFonts w:cs="Arial"/>
              </w:rPr>
              <w:t>95</w:t>
            </w:r>
          </w:p>
        </w:tc>
        <w:tc>
          <w:tcPr>
            <w:tcW w:w="1560" w:type="dxa"/>
            <w:shd w:val="clear" w:color="auto" w:fill="auto"/>
          </w:tcPr>
          <w:p w14:paraId="2963DF48" w14:textId="77777777" w:rsidR="00F46E12" w:rsidRPr="00124538" w:rsidRDefault="00F46E12" w:rsidP="00952579">
            <w:pPr>
              <w:rPr>
                <w:rFonts w:cs="Arial"/>
              </w:rPr>
            </w:pPr>
            <w:r>
              <w:rPr>
                <w:rFonts w:cs="Arial"/>
              </w:rPr>
              <w:t>5</w:t>
            </w:r>
          </w:p>
        </w:tc>
      </w:tr>
      <w:tr w:rsidR="00F46E12" w:rsidRPr="00124538" w14:paraId="2C56D426" w14:textId="77777777" w:rsidTr="00952579">
        <w:trPr>
          <w:trHeight w:val="264"/>
        </w:trPr>
        <w:tc>
          <w:tcPr>
            <w:tcW w:w="1384" w:type="dxa"/>
            <w:shd w:val="clear" w:color="auto" w:fill="auto"/>
          </w:tcPr>
          <w:p w14:paraId="1019C10C" w14:textId="1DCBF4E1" w:rsidR="00F46E12" w:rsidRPr="00124538" w:rsidRDefault="00913486" w:rsidP="00952579">
            <w:pPr>
              <w:ind w:left="317"/>
              <w:rPr>
                <w:rFonts w:cs="Arial"/>
              </w:rPr>
            </w:pPr>
            <w:r>
              <w:rPr>
                <w:rFonts w:cs="Arial"/>
              </w:rPr>
              <w:t>19</w:t>
            </w:r>
          </w:p>
        </w:tc>
        <w:tc>
          <w:tcPr>
            <w:tcW w:w="1559" w:type="dxa"/>
            <w:shd w:val="clear" w:color="auto" w:fill="auto"/>
          </w:tcPr>
          <w:p w14:paraId="470F993D" w14:textId="77777777" w:rsidR="00F46E12" w:rsidRPr="00124538" w:rsidRDefault="00F46E12" w:rsidP="00952579">
            <w:pPr>
              <w:rPr>
                <w:rFonts w:cs="Arial"/>
              </w:rPr>
            </w:pPr>
            <w:r>
              <w:rPr>
                <w:rFonts w:cs="Arial"/>
              </w:rPr>
              <w:t>95</w:t>
            </w:r>
          </w:p>
        </w:tc>
        <w:tc>
          <w:tcPr>
            <w:tcW w:w="1560" w:type="dxa"/>
            <w:shd w:val="clear" w:color="auto" w:fill="auto"/>
          </w:tcPr>
          <w:p w14:paraId="3C76959F" w14:textId="77777777" w:rsidR="00F46E12" w:rsidRPr="00124538" w:rsidRDefault="00F46E12" w:rsidP="00952579">
            <w:pPr>
              <w:rPr>
                <w:rFonts w:cs="Arial"/>
              </w:rPr>
            </w:pPr>
            <w:r>
              <w:rPr>
                <w:rFonts w:cs="Arial"/>
              </w:rPr>
              <w:t>5</w:t>
            </w:r>
          </w:p>
        </w:tc>
      </w:tr>
    </w:tbl>
    <w:p w14:paraId="418A76D6" w14:textId="77777777" w:rsidR="00485125" w:rsidRDefault="00485125"/>
    <w:p w14:paraId="43C511B2" w14:textId="35E366DD" w:rsidR="00F46E12" w:rsidRDefault="00952579">
      <w:r>
        <w:t xml:space="preserve">The HRMS instrument was </w:t>
      </w:r>
      <w:r w:rsidR="00044C74">
        <w:t xml:space="preserve">tuned prior to every batch. </w:t>
      </w:r>
      <w:r w:rsidR="008B39CD">
        <w:t>The samples were analyzed in 5</w:t>
      </w:r>
      <w:r w:rsidR="002F71BC">
        <w:t xml:space="preserve"> batches per m</w:t>
      </w:r>
      <w:r w:rsidR="00F66E4A">
        <w:t>ode.  C</w:t>
      </w:r>
      <w:r w:rsidR="002F71BC">
        <w:t xml:space="preserve">olumn </w:t>
      </w:r>
      <w:r w:rsidR="00F66E4A">
        <w:t>was conditioned with data-dependent injections (DDA)</w:t>
      </w:r>
      <w:r w:rsidR="002F71BC">
        <w:t xml:space="preserve">, </w:t>
      </w:r>
      <w:r w:rsidR="00F66E4A">
        <w:t xml:space="preserve">and </w:t>
      </w:r>
      <w:r w:rsidR="002F71BC">
        <w:t>a series of QCs and blanks were run followed by the samples. LQC and UT samples were injected throughout the run. MSMS data was obtained during column conditioning (DDA) and at the end of each batch (DDA, DIA) to facilitate annotation.</w:t>
      </w:r>
    </w:p>
    <w:p w14:paraId="109C021D" w14:textId="77777777" w:rsidR="002D24F4" w:rsidRDefault="002D24F4"/>
    <w:p w14:paraId="7EDAC3E4" w14:textId="77777777" w:rsidR="00F66E4A" w:rsidRPr="00F66E4A" w:rsidRDefault="00AF56DF" w:rsidP="00C40B93">
      <w:pPr>
        <w:outlineLvl w:val="0"/>
        <w:rPr>
          <w:sz w:val="36"/>
          <w:szCs w:val="36"/>
        </w:rPr>
      </w:pPr>
      <w:r w:rsidRPr="00F66E4A">
        <w:rPr>
          <w:sz w:val="36"/>
          <w:szCs w:val="36"/>
        </w:rPr>
        <w:t xml:space="preserve">Data Processing: </w:t>
      </w:r>
    </w:p>
    <w:p w14:paraId="6964E32D" w14:textId="77777777" w:rsidR="00D32127" w:rsidRDefault="00D32127" w:rsidP="00AF56DF"/>
    <w:p w14:paraId="669A8BBD" w14:textId="1588582D" w:rsidR="00F66E4A" w:rsidRDefault="00AF56DF" w:rsidP="00C40B93">
      <w:pPr>
        <w:outlineLvl w:val="0"/>
      </w:pPr>
      <w:r w:rsidRPr="00C821FF">
        <w:t>Analysis was performed for all batches (</w:t>
      </w:r>
      <w:r w:rsidR="008B39CD">
        <w:t>5</w:t>
      </w:r>
      <w:r w:rsidR="009671B9">
        <w:t>) in</w:t>
      </w:r>
      <w:r w:rsidRPr="00C821FF">
        <w:t xml:space="preserve"> each mode. </w:t>
      </w:r>
    </w:p>
    <w:p w14:paraId="74F7639F" w14:textId="77777777" w:rsidR="00F66E4A" w:rsidRDefault="00F66E4A" w:rsidP="00AF56DF"/>
    <w:p w14:paraId="6509A778" w14:textId="19124B38" w:rsidR="009671B9" w:rsidRPr="00E96D7E" w:rsidRDefault="00F66E4A" w:rsidP="009671B9">
      <w:r>
        <w:rPr>
          <w:i/>
        </w:rPr>
        <w:t>Database depende</w:t>
      </w:r>
      <w:r w:rsidRPr="00F66E4A">
        <w:rPr>
          <w:i/>
        </w:rPr>
        <w:t>nt targeted identification</w:t>
      </w:r>
      <w:r>
        <w:rPr>
          <w:i/>
        </w:rPr>
        <w:t>:</w:t>
      </w:r>
      <w:r w:rsidRPr="00F66E4A">
        <w:rPr>
          <w:i/>
        </w:rPr>
        <w:t xml:space="preserve"> </w:t>
      </w:r>
      <w:r>
        <w:t>Metabolites were identified based upon in-house database matching considering retention time, accurate mass, and MSMS matching (when available) matching with pure standards analyzed under the same conditions.</w:t>
      </w:r>
      <w:r w:rsidR="009671B9" w:rsidRPr="009671B9">
        <w:t xml:space="preserve"> </w:t>
      </w:r>
    </w:p>
    <w:p w14:paraId="0BDAEF1C" w14:textId="77777777" w:rsidR="00F66E4A" w:rsidRDefault="00F66E4A" w:rsidP="00AF56DF"/>
    <w:p w14:paraId="0060CEEC" w14:textId="55AE11C7" w:rsidR="009671B9" w:rsidRPr="00E96D7E" w:rsidRDefault="00F66E4A" w:rsidP="009671B9">
      <w:r w:rsidRPr="00F66E4A">
        <w:rPr>
          <w:i/>
        </w:rPr>
        <w:t>Untargeted metabolomics analysis</w:t>
      </w:r>
      <w:r>
        <w:t xml:space="preserve">: </w:t>
      </w:r>
      <w:r w:rsidR="009671B9" w:rsidRPr="00C821FF">
        <w:t xml:space="preserve">Parameters for peak picking </w:t>
      </w:r>
      <w:r w:rsidR="009671B9" w:rsidRPr="00C821FF">
        <w:rPr>
          <w:rFonts w:cs="Times New Roman"/>
        </w:rPr>
        <w:t>grouping, and alignment with ‘XCMS’ incl</w:t>
      </w:r>
      <w:r w:rsidR="009671B9" w:rsidRPr="00C821FF">
        <w:t xml:space="preserve">uded </w:t>
      </w:r>
      <w:proofErr w:type="spellStart"/>
      <w:r w:rsidR="009671B9" w:rsidRPr="00C821FF">
        <w:t>centwave</w:t>
      </w:r>
      <w:proofErr w:type="spellEnd"/>
      <w:r w:rsidR="009671B9" w:rsidRPr="00C821FF">
        <w:t xml:space="preserve"> feature detection, </w:t>
      </w:r>
      <w:proofErr w:type="spellStart"/>
      <w:r w:rsidR="009671B9" w:rsidRPr="00C821FF">
        <w:t>orbiwarp</w:t>
      </w:r>
      <w:proofErr w:type="spellEnd"/>
      <w:r w:rsidR="009671B9" w:rsidRPr="00C821FF">
        <w:t xml:space="preserve"> retention time correction, minimum fraction of samples in one group to be a valid group =</w:t>
      </w:r>
      <w:r w:rsidR="009C39E1">
        <w:t xml:space="preserve"> 0.25, isotopic ppm error = 10. W</w:t>
      </w:r>
      <w:r w:rsidR="009671B9" w:rsidRPr="00C821FF">
        <w:t xml:space="preserve">idth of overlapping </w:t>
      </w:r>
      <w:r w:rsidR="009671B9" w:rsidRPr="00C821FF">
        <w:rPr>
          <w:i/>
        </w:rPr>
        <w:t>m/z</w:t>
      </w:r>
      <w:r w:rsidR="009671B9" w:rsidRPr="00C821FF">
        <w:t xml:space="preserve"> </w:t>
      </w:r>
      <w:r w:rsidR="009C39E1">
        <w:t>slices (</w:t>
      </w:r>
      <w:proofErr w:type="spellStart"/>
      <w:r w:rsidR="009C39E1">
        <w:t>mzwid</w:t>
      </w:r>
      <w:proofErr w:type="spellEnd"/>
      <w:r w:rsidR="009C39E1">
        <w:t>) = 0.003 or 0.015</w:t>
      </w:r>
      <w:r w:rsidR="009671B9" w:rsidRPr="00C821FF">
        <w:t>, an</w:t>
      </w:r>
      <w:r w:rsidR="009C39E1">
        <w:t>d retention time window (</w:t>
      </w:r>
      <w:proofErr w:type="spellStart"/>
      <w:r w:rsidR="009C39E1">
        <w:t>bw</w:t>
      </w:r>
      <w:proofErr w:type="spellEnd"/>
      <w:r w:rsidR="009C39E1">
        <w:t>) = 12.4</w:t>
      </w:r>
      <w:r w:rsidR="009671B9" w:rsidRPr="00C821FF">
        <w:t xml:space="preserve"> s</w:t>
      </w:r>
      <w:r w:rsidR="009C39E1">
        <w:t xml:space="preserve"> and 22 s for ZHP and RPN, respectively</w:t>
      </w:r>
      <w:r w:rsidR="009671B9" w:rsidRPr="00C821FF">
        <w:t xml:space="preserve">. Minimum and maximum peak width were 5 and 20 s for reverse phase and 10 and 60 s for HILIC. The resulting peak table of retention times, </w:t>
      </w:r>
      <w:r w:rsidR="009671B9" w:rsidRPr="00C821FF">
        <w:rPr>
          <w:i/>
        </w:rPr>
        <w:t>m/z</w:t>
      </w:r>
      <w:r w:rsidR="009671B9" w:rsidRPr="00C821FF">
        <w:t xml:space="preserve"> values, and peak areas was exported for data processing</w:t>
      </w:r>
      <w:r w:rsidR="009671B9">
        <w:t>.</w:t>
      </w:r>
    </w:p>
    <w:p w14:paraId="1CEED23C" w14:textId="77777777" w:rsidR="009671B9" w:rsidRPr="00E96D7E" w:rsidRDefault="009671B9" w:rsidP="009671B9"/>
    <w:p w14:paraId="1103F881" w14:textId="67654AE7" w:rsidR="009671B9" w:rsidRPr="00E96D7E" w:rsidRDefault="009671B9" w:rsidP="009671B9">
      <w:r w:rsidRPr="00E96D7E">
        <w:t xml:space="preserve">Annotation of the untargeted data was facilitated by </w:t>
      </w:r>
      <w:proofErr w:type="spellStart"/>
      <w:r w:rsidRPr="00E96D7E">
        <w:t>xMSannotator</w:t>
      </w:r>
      <w:proofErr w:type="spellEnd"/>
      <w:r>
        <w:t xml:space="preserve"> using the annotation scheme of </w:t>
      </w:r>
      <w:proofErr w:type="spellStart"/>
      <w:r>
        <w:t>Schymanski</w:t>
      </w:r>
      <w:proofErr w:type="spellEnd"/>
      <w:r>
        <w:t xml:space="preserve"> et al. (Environmental Science &amp; Technology, 2014)</w:t>
      </w:r>
      <w:r w:rsidRPr="00E96D7E">
        <w:t>. Level 1 and 2 annotations were those that were confirmed with database dependent annotation. Lowe</w:t>
      </w:r>
      <w:r w:rsidR="009C39E1">
        <w:t>r confidence annotations (level</w:t>
      </w:r>
      <w:r w:rsidRPr="00E96D7E">
        <w:t xml:space="preserve"> 4) are those from the HMDB and T3DB online databases that were highly ranking by </w:t>
      </w:r>
      <w:proofErr w:type="spellStart"/>
      <w:r w:rsidRPr="00E96D7E">
        <w:t>xMSannotator</w:t>
      </w:r>
      <w:proofErr w:type="spellEnd"/>
      <w:r w:rsidRPr="00E96D7E">
        <w:t>. Level 5 annotations were named by “</w:t>
      </w:r>
      <w:proofErr w:type="spellStart"/>
      <w:r w:rsidRPr="00E96D7E">
        <w:t>mz_rt</w:t>
      </w:r>
      <w:proofErr w:type="spellEnd"/>
      <w:r w:rsidRPr="00E96D7E">
        <w:t xml:space="preserve">”. </w:t>
      </w:r>
    </w:p>
    <w:p w14:paraId="1939562B" w14:textId="77777777" w:rsidR="009671B9" w:rsidRDefault="009671B9" w:rsidP="00AF56DF"/>
    <w:p w14:paraId="7D3B37F8" w14:textId="42DEA3ED" w:rsidR="002F71BC" w:rsidRDefault="002F71BC" w:rsidP="00AF56DF">
      <w:r>
        <w:t>Metadata for the analysis including the batch</w:t>
      </w:r>
      <w:r w:rsidR="0080350F">
        <w:t xml:space="preserve"> and </w:t>
      </w:r>
      <w:r>
        <w:t>run</w:t>
      </w:r>
      <w:r w:rsidR="00BC6258">
        <w:t xml:space="preserve"> </w:t>
      </w:r>
      <w:r>
        <w:t>order</w:t>
      </w:r>
      <w:r w:rsidR="00D613E7">
        <w:t xml:space="preserve"> of each injection</w:t>
      </w:r>
      <w:r w:rsidR="002D10A7">
        <w:t xml:space="preserve"> are provided in the Meta</w:t>
      </w:r>
      <w:r w:rsidR="009671B9">
        <w:t>file</w:t>
      </w:r>
      <w:r w:rsidR="002D10A7">
        <w:t>, “</w:t>
      </w:r>
      <w:r w:rsidR="008B39CD" w:rsidRPr="008B39CD">
        <w:t>Meta_2019_Michels2017_1977</w:t>
      </w:r>
      <w:r w:rsidR="001D4C1C">
        <w:t>.csv</w:t>
      </w:r>
      <w:r w:rsidR="002D10A7">
        <w:t>”</w:t>
      </w:r>
      <w:r w:rsidR="0080350F">
        <w:t>.</w:t>
      </w:r>
      <w:r>
        <w:t xml:space="preserve"> </w:t>
      </w:r>
      <w:r w:rsidR="00F01398">
        <w:t xml:space="preserve">We also included the Specific gravity measurements </w:t>
      </w:r>
      <w:r w:rsidR="00FC0DD5">
        <w:t xml:space="preserve">and dilution factor performed </w:t>
      </w:r>
      <w:r w:rsidR="00F01398">
        <w:t>for each sample</w:t>
      </w:r>
      <w:r w:rsidR="009671B9">
        <w:t xml:space="preserve"> prior to data acquisition</w:t>
      </w:r>
      <w:r w:rsidR="00F01398">
        <w:t>.</w:t>
      </w:r>
    </w:p>
    <w:p w14:paraId="2C17E08F" w14:textId="77777777" w:rsidR="00D32127" w:rsidRDefault="00D32127" w:rsidP="00AF56DF"/>
    <w:p w14:paraId="2B0E9369" w14:textId="17C48667" w:rsidR="00D32127" w:rsidRDefault="00D32127" w:rsidP="00C40B93">
      <w:pPr>
        <w:outlineLvl w:val="0"/>
        <w:rPr>
          <w:sz w:val="36"/>
          <w:szCs w:val="36"/>
        </w:rPr>
      </w:pPr>
      <w:r w:rsidRPr="0093534F">
        <w:rPr>
          <w:sz w:val="36"/>
          <w:szCs w:val="36"/>
        </w:rPr>
        <w:t>Results</w:t>
      </w:r>
    </w:p>
    <w:p w14:paraId="07C861B7" w14:textId="677A90F2" w:rsidR="000F692F" w:rsidRDefault="00771FB2" w:rsidP="000F692F">
      <w:r>
        <w:t>Our in-house library contains infor</w:t>
      </w:r>
      <w:r w:rsidR="00BF68CF">
        <w:t xml:space="preserve">mation for </w:t>
      </w:r>
      <w:r w:rsidR="007A28CD">
        <w:t>301</w:t>
      </w:r>
      <w:r w:rsidR="00A91A54" w:rsidRPr="00AD4040">
        <w:t xml:space="preserve"> </w:t>
      </w:r>
      <w:r w:rsidR="00BF68CF" w:rsidRPr="00AD4040">
        <w:t>metabolites (</w:t>
      </w:r>
      <w:r w:rsidR="00803C5A" w:rsidRPr="00AD4040">
        <w:t>ZHP</w:t>
      </w:r>
      <w:r w:rsidR="00BF68CF" w:rsidRPr="00AD4040">
        <w:t xml:space="preserve"> = </w:t>
      </w:r>
      <w:r w:rsidR="007A28CD">
        <w:t>205</w:t>
      </w:r>
      <w:r w:rsidR="00803C5A" w:rsidRPr="00AD4040">
        <w:t xml:space="preserve"> and RPN</w:t>
      </w:r>
      <w:r w:rsidR="00BF68CF" w:rsidRPr="00AD4040">
        <w:t xml:space="preserve"> = </w:t>
      </w:r>
      <w:r w:rsidR="007A28CD">
        <w:t>96</w:t>
      </w:r>
      <w:r w:rsidR="00BF68CF" w:rsidRPr="00AD4040">
        <w:t xml:space="preserve">) representing biochemically and </w:t>
      </w:r>
      <w:r w:rsidR="00BF68CF">
        <w:t>environmentally important compounds. Metabolite identification was based on matching accurate mass/retention time (AMRT) in combination with tandem mass spectrometry when available by DDA and the all ion fragm</w:t>
      </w:r>
      <w:r w:rsidR="002D10A7">
        <w:t xml:space="preserve">entation (AIF) mode. Identified/annotated </w:t>
      </w:r>
      <w:r w:rsidR="00BF68CF">
        <w:t xml:space="preserve">metabolites are reported in the </w:t>
      </w:r>
      <w:r w:rsidR="002D10A7">
        <w:t>files</w:t>
      </w:r>
      <w:r w:rsidR="00BF68CF">
        <w:t>.</w:t>
      </w:r>
      <w:r w:rsidR="000F692F">
        <w:t xml:space="preserve"> </w:t>
      </w:r>
      <w:r w:rsidR="000F692F" w:rsidRPr="00E96D7E">
        <w:t xml:space="preserve">Identified metabolites </w:t>
      </w:r>
      <w:r w:rsidR="000F692F">
        <w:t xml:space="preserve">from the database dependent matching are reported in the </w:t>
      </w:r>
      <w:proofErr w:type="spellStart"/>
      <w:r w:rsidR="000F692F">
        <w:t>csv</w:t>
      </w:r>
      <w:proofErr w:type="spellEnd"/>
      <w:r w:rsidR="000F692F" w:rsidRPr="00E96D7E">
        <w:t xml:space="preserve"> file</w:t>
      </w:r>
      <w:r w:rsidR="000F692F">
        <w:t xml:space="preserve">s </w:t>
      </w:r>
      <w:r w:rsidR="000F692F" w:rsidRPr="00E96D7E">
        <w:t>‘</w:t>
      </w:r>
      <w:r w:rsidR="000F692F">
        <w:t>’</w:t>
      </w:r>
      <w:r w:rsidR="008B39CD">
        <w:t>Michels</w:t>
      </w:r>
      <w:r w:rsidR="000F692F" w:rsidRPr="000F692F">
        <w:t>_Urine_ZHP_targeted</w:t>
      </w:r>
      <w:r w:rsidR="007A28CD">
        <w:t>_</w:t>
      </w:r>
      <w:r w:rsidR="001D4C1C">
        <w:t>Final</w:t>
      </w:r>
      <w:r w:rsidR="007A28CD">
        <w:t>.csv</w:t>
      </w:r>
      <w:r w:rsidR="000F692F">
        <w:t>”, and “</w:t>
      </w:r>
      <w:r w:rsidR="008B39CD">
        <w:t>Michels</w:t>
      </w:r>
      <w:r w:rsidR="000F692F">
        <w:t>_Urine_RPN</w:t>
      </w:r>
      <w:r w:rsidR="000F692F" w:rsidRPr="000F692F">
        <w:t>_targeted</w:t>
      </w:r>
      <w:r w:rsidR="007A28CD">
        <w:t>_</w:t>
      </w:r>
      <w:r w:rsidR="001D4C1C">
        <w:t>Final</w:t>
      </w:r>
      <w:r w:rsidR="007A28CD">
        <w:t>.csv</w:t>
      </w:r>
      <w:r w:rsidR="000F692F">
        <w:t>”</w:t>
      </w:r>
      <w:r w:rsidR="000F692F" w:rsidRPr="00E96D7E">
        <w:t>.</w:t>
      </w:r>
      <w:r w:rsidR="007A28CD">
        <w:t xml:space="preserve"> C</w:t>
      </w:r>
      <w:r w:rsidR="000F692F">
        <w:t xml:space="preserve">ells </w:t>
      </w:r>
      <w:r w:rsidR="007A28CD">
        <w:t xml:space="preserve">with zero </w:t>
      </w:r>
      <w:r w:rsidR="000F692F">
        <w:t>indicate peaks that were below the limit of detection. Identifications with “/” indicate that analyti</w:t>
      </w:r>
      <w:r w:rsidR="001D4C1C">
        <w:t>cal standards co-eluted and can</w:t>
      </w:r>
      <w:r w:rsidR="000F692F">
        <w:t xml:space="preserve">not be distinguished by AMRT matching.   Untargeted results </w:t>
      </w:r>
      <w:r w:rsidR="000F692F" w:rsidRPr="00E96D7E">
        <w:t>are reported in th</w:t>
      </w:r>
      <w:r w:rsidR="000F692F">
        <w:t xml:space="preserve">e </w:t>
      </w:r>
      <w:proofErr w:type="spellStart"/>
      <w:r w:rsidR="000F692F">
        <w:t>csv</w:t>
      </w:r>
      <w:proofErr w:type="spellEnd"/>
      <w:r w:rsidR="000F692F" w:rsidRPr="00E96D7E">
        <w:t xml:space="preserve"> file</w:t>
      </w:r>
      <w:r w:rsidR="000F692F">
        <w:t>s, “</w:t>
      </w:r>
      <w:r w:rsidR="008B39CD">
        <w:t>Michels</w:t>
      </w:r>
      <w:r w:rsidR="00B9068F" w:rsidRPr="00B9068F">
        <w:t>_</w:t>
      </w:r>
      <w:r w:rsidR="007A28CD">
        <w:t>ZHP</w:t>
      </w:r>
      <w:r w:rsidR="00B9068F" w:rsidRPr="00B9068F">
        <w:t>_Untargeted_</w:t>
      </w:r>
      <w:r w:rsidR="001D4C1C">
        <w:t>Final</w:t>
      </w:r>
      <w:r w:rsidR="00B9068F" w:rsidRPr="00B9068F">
        <w:t>.csv</w:t>
      </w:r>
      <w:r w:rsidR="000F692F">
        <w:t>”, and “</w:t>
      </w:r>
      <w:proofErr w:type="spellStart"/>
      <w:r w:rsidR="008B39CD">
        <w:t>Michels</w:t>
      </w:r>
      <w:r w:rsidR="00B9068F" w:rsidRPr="00B9068F">
        <w:t>_RPN</w:t>
      </w:r>
      <w:proofErr w:type="spellEnd"/>
      <w:r w:rsidR="00B9068F" w:rsidRPr="00B9068F">
        <w:t>_</w:t>
      </w:r>
      <w:r w:rsidR="007A28CD" w:rsidRPr="00B9068F">
        <w:t xml:space="preserve"> </w:t>
      </w:r>
      <w:r w:rsidR="00B9068F" w:rsidRPr="00B9068F">
        <w:t>Untargeted_</w:t>
      </w:r>
      <w:r w:rsidR="001D4C1C">
        <w:t>Final</w:t>
      </w:r>
      <w:r w:rsidR="00B9068F" w:rsidRPr="00B9068F">
        <w:t>.csv</w:t>
      </w:r>
      <w:r w:rsidR="000F692F">
        <w:t>. Cells with zeros indicate missing peaks.</w:t>
      </w:r>
      <w:r w:rsidR="00AA1812">
        <w:t xml:space="preserve"> </w:t>
      </w:r>
    </w:p>
    <w:p w14:paraId="2AA2089A" w14:textId="77777777" w:rsidR="00AA1812" w:rsidRDefault="00AA1812" w:rsidP="000F692F"/>
    <w:p w14:paraId="5C304114" w14:textId="2E273EDB" w:rsidR="00AA1812" w:rsidRPr="00E96D7E" w:rsidRDefault="00AA1812" w:rsidP="000F692F">
      <w:r w:rsidRPr="00AA1812">
        <w:rPr>
          <w:b/>
        </w:rPr>
        <w:t>Note:</w:t>
      </w:r>
      <w:r>
        <w:t xml:space="preserve"> All urine samples were pre-diluted to a specific gravity of 1.002 prior to data acquisition. Therefore, no further adjustments for urinary dilution factor are needed during data analysis.</w:t>
      </w:r>
    </w:p>
    <w:p w14:paraId="5A0A32EE" w14:textId="722EC855" w:rsidR="000F692F" w:rsidRPr="00E96D7E" w:rsidRDefault="000F692F" w:rsidP="000F692F"/>
    <w:p w14:paraId="63DF18EE" w14:textId="6DDC65E1" w:rsidR="002F71BC" w:rsidRDefault="002F71BC" w:rsidP="00AF56DF"/>
    <w:p w14:paraId="77344F81" w14:textId="77777777" w:rsidR="00BF68CF" w:rsidRDefault="00BF68CF" w:rsidP="00AF56DF"/>
    <w:p w14:paraId="2CDAFC9A" w14:textId="77777777" w:rsidR="00BF68CF" w:rsidRDefault="00BF68CF" w:rsidP="00AF56DF"/>
    <w:p w14:paraId="3E83739C" w14:textId="77777777" w:rsidR="0093534F" w:rsidRPr="00AF56DF" w:rsidRDefault="0093534F" w:rsidP="00AF56DF"/>
    <w:p w14:paraId="42A73F3E" w14:textId="77777777" w:rsidR="00735107" w:rsidRDefault="00735107"/>
    <w:p w14:paraId="2531F9CD" w14:textId="77777777" w:rsidR="00735107" w:rsidRDefault="00735107"/>
    <w:p w14:paraId="7A44C39C" w14:textId="77777777" w:rsidR="00952579" w:rsidRDefault="00952579"/>
    <w:p w14:paraId="3B1131BB" w14:textId="77777777" w:rsidR="008754F3" w:rsidRDefault="008754F3"/>
    <w:sectPr w:rsidR="008754F3" w:rsidSect="00815A6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F4F474" w15:done="0"/>
  <w15:commentEx w15:paraId="0D681570" w15:done="0"/>
  <w15:commentEx w15:paraId="25EAECAB" w15:done="0"/>
  <w15:commentEx w15:paraId="33CFE3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F4F474" w16cid:durableId="2162CEE4"/>
  <w16cid:commentId w16cid:paraId="0D681570" w16cid:durableId="2162CEE5"/>
  <w16cid:commentId w16cid:paraId="25EAECAB" w16cid:durableId="2162CEE6"/>
  <w16cid:commentId w16cid:paraId="33CFE3D2" w16cid:durableId="2162CEE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2479D" w14:textId="77777777" w:rsidR="00AA1812" w:rsidRDefault="00AA1812" w:rsidP="00354DC1">
      <w:r>
        <w:separator/>
      </w:r>
    </w:p>
  </w:endnote>
  <w:endnote w:type="continuationSeparator" w:id="0">
    <w:p w14:paraId="58A42759" w14:textId="77777777" w:rsidR="00AA1812" w:rsidRDefault="00AA1812" w:rsidP="0035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F3E2" w14:textId="77777777" w:rsidR="00AA1812" w:rsidRDefault="00AA1812" w:rsidP="00354D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2946C" w14:textId="77777777" w:rsidR="00AA1812" w:rsidRDefault="00AA1812" w:rsidP="00354D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5C7E6" w14:textId="1B53E010" w:rsidR="00AA1812" w:rsidRDefault="00AA1812" w:rsidP="00354D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C14">
      <w:rPr>
        <w:rStyle w:val="PageNumber"/>
        <w:noProof/>
      </w:rPr>
      <w:t>1</w:t>
    </w:r>
    <w:r>
      <w:rPr>
        <w:rStyle w:val="PageNumber"/>
      </w:rPr>
      <w:fldChar w:fldCharType="end"/>
    </w:r>
  </w:p>
  <w:p w14:paraId="3A7ABB07" w14:textId="538C384D" w:rsidR="00AA1812" w:rsidRDefault="00AA1812" w:rsidP="00354DC1">
    <w:pPr>
      <w:pStyle w:val="Footer"/>
      <w:ind w:right="360"/>
    </w:pPr>
    <w:r>
      <w:fldChar w:fldCharType="begin"/>
    </w:r>
    <w:r>
      <w:instrText xml:space="preserve"> DATE \@ "M/d/yy" </w:instrText>
    </w:r>
    <w:r>
      <w:fldChar w:fldCharType="separate"/>
    </w:r>
    <w:r w:rsidR="001D4C1C">
      <w:rPr>
        <w:noProof/>
      </w:rPr>
      <w:t>5/11/20</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D2835" w14:textId="77777777" w:rsidR="00AA1812" w:rsidRDefault="00AA18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59D9F" w14:textId="77777777" w:rsidR="00AA1812" w:rsidRDefault="00AA1812" w:rsidP="00354DC1">
      <w:r>
        <w:separator/>
      </w:r>
    </w:p>
  </w:footnote>
  <w:footnote w:type="continuationSeparator" w:id="0">
    <w:p w14:paraId="548A7DFB" w14:textId="77777777" w:rsidR="00AA1812" w:rsidRDefault="00AA1812" w:rsidP="00354D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6E52" w14:textId="77777777" w:rsidR="00AA1812" w:rsidRDefault="00AA18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23054" w14:textId="291FFC98" w:rsidR="00AA1812" w:rsidRDefault="00AA1812" w:rsidP="00F87A4D">
    <w:r>
      <w:rPr>
        <w:noProof/>
      </w:rPr>
      <w:drawing>
        <wp:anchor distT="0" distB="0" distL="114300" distR="114300" simplePos="0" relativeHeight="251658240" behindDoc="0" locked="0" layoutInCell="1" allowOverlap="1" wp14:anchorId="2617D3D6" wp14:editId="4B2A0D5D">
          <wp:simplePos x="0" y="0"/>
          <wp:positionH relativeFrom="column">
            <wp:posOffset>5143500</wp:posOffset>
          </wp:positionH>
          <wp:positionV relativeFrom="paragraph">
            <wp:posOffset>116205</wp:posOffset>
          </wp:positionV>
          <wp:extent cx="546100" cy="756920"/>
          <wp:effectExtent l="0" t="0" r="1270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MS_bw_logo.png"/>
                  <pic:cNvPicPr/>
                </pic:nvPicPr>
                <pic:blipFill>
                  <a:blip r:embed="rId1">
                    <a:extLst>
                      <a:ext uri="{28A0092B-C50C-407E-A947-70E740481C1C}">
                        <a14:useLocalDpi xmlns:a14="http://schemas.microsoft.com/office/drawing/2010/main" val="0"/>
                      </a:ext>
                    </a:extLst>
                  </a:blip>
                  <a:stretch>
                    <a:fillRect/>
                  </a:stretch>
                </pic:blipFill>
                <pic:spPr>
                  <a:xfrm>
                    <a:off x="0" y="0"/>
                    <a:ext cx="546100" cy="756920"/>
                  </a:xfrm>
                  <a:prstGeom prst="rect">
                    <a:avLst/>
                  </a:prstGeom>
                </pic:spPr>
              </pic:pic>
            </a:graphicData>
          </a:graphic>
          <wp14:sizeRelH relativeFrom="page">
            <wp14:pctWidth>0</wp14:pctWidth>
          </wp14:sizeRelH>
          <wp14:sizeRelV relativeFrom="page">
            <wp14:pctHeight>0</wp14:pctHeight>
          </wp14:sizeRelV>
        </wp:anchor>
      </w:drawing>
    </w:r>
  </w:p>
  <w:p w14:paraId="0C74478D" w14:textId="096E33CA" w:rsidR="00AA1812" w:rsidRDefault="00AA1812" w:rsidP="00F87A4D">
    <w:r>
      <w:t>The Senator Frank R. Lautenberg Environmental Health Sciences Laboratory</w:t>
    </w:r>
  </w:p>
  <w:p w14:paraId="4BA4EE97" w14:textId="4F346BFF" w:rsidR="00AA1812" w:rsidRDefault="00AA1812" w:rsidP="00F87A4D">
    <w:r>
      <w:t>Department of Environmental Medicine and Public Health</w:t>
    </w:r>
  </w:p>
  <w:p w14:paraId="1161FC29" w14:textId="6FC4395D" w:rsidR="00AA1812" w:rsidRDefault="00AA1812" w:rsidP="00F87A4D">
    <w:r>
      <w:t>Icahn School of Medicine at Mount Sinai, NY</w:t>
    </w:r>
  </w:p>
  <w:p w14:paraId="77137A8C" w14:textId="77777777" w:rsidR="00AA1812" w:rsidRDefault="00AA1812" w:rsidP="00F87A4D">
    <w:proofErr w:type="spellStart"/>
    <w:r>
      <w:t>Atran</w:t>
    </w:r>
    <w:proofErr w:type="spellEnd"/>
    <w:r>
      <w:t xml:space="preserve"> Building 3</w:t>
    </w:r>
    <w:r w:rsidRPr="00354DC1">
      <w:rPr>
        <w:vertAlign w:val="superscript"/>
      </w:rPr>
      <w:t>rd</w:t>
    </w:r>
    <w:r>
      <w:t xml:space="preserve"> Floor</w:t>
    </w:r>
  </w:p>
  <w:p w14:paraId="41513BE7" w14:textId="77777777" w:rsidR="00AA1812" w:rsidRDefault="00AA1812" w:rsidP="00F87A4D">
    <w:r>
      <w:t>New York, NY  10029</w:t>
    </w:r>
  </w:p>
  <w:p w14:paraId="36B2016A" w14:textId="77777777" w:rsidR="00AA1812" w:rsidRDefault="00AA181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CCF7F" w14:textId="77777777" w:rsidR="00AA1812" w:rsidRDefault="00AA18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09EB"/>
    <w:multiLevelType w:val="hybridMultilevel"/>
    <w:tmpl w:val="495EF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2123B"/>
    <w:multiLevelType w:val="hybridMultilevel"/>
    <w:tmpl w:val="EEFA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A7143"/>
    <w:multiLevelType w:val="hybridMultilevel"/>
    <w:tmpl w:val="C0307152"/>
    <w:lvl w:ilvl="0" w:tplc="0409000F">
      <w:start w:val="1"/>
      <w:numFmt w:val="decimal"/>
      <w:lvlText w:val="%1."/>
      <w:lvlJc w:val="left"/>
      <w:pPr>
        <w:ind w:left="720" w:hanging="360"/>
      </w:pPr>
    </w:lvl>
    <w:lvl w:ilvl="1" w:tplc="E11ECBA0">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D3"/>
    <w:rsid w:val="00016520"/>
    <w:rsid w:val="0002008D"/>
    <w:rsid w:val="00026602"/>
    <w:rsid w:val="00044C74"/>
    <w:rsid w:val="000537C3"/>
    <w:rsid w:val="00063DE9"/>
    <w:rsid w:val="00066D2D"/>
    <w:rsid w:val="000E39B5"/>
    <w:rsid w:val="000E6FE5"/>
    <w:rsid w:val="000F692F"/>
    <w:rsid w:val="00114940"/>
    <w:rsid w:val="001359A3"/>
    <w:rsid w:val="001C3A2E"/>
    <w:rsid w:val="001D4C1C"/>
    <w:rsid w:val="001F1FDD"/>
    <w:rsid w:val="00220D6A"/>
    <w:rsid w:val="00223C16"/>
    <w:rsid w:val="00257193"/>
    <w:rsid w:val="002B23D6"/>
    <w:rsid w:val="002B2B76"/>
    <w:rsid w:val="002D10A7"/>
    <w:rsid w:val="002D24F4"/>
    <w:rsid w:val="002E5192"/>
    <w:rsid w:val="002E65EC"/>
    <w:rsid w:val="002F71BC"/>
    <w:rsid w:val="00326844"/>
    <w:rsid w:val="00332185"/>
    <w:rsid w:val="003506E7"/>
    <w:rsid w:val="00354DC1"/>
    <w:rsid w:val="00386F1E"/>
    <w:rsid w:val="003A445D"/>
    <w:rsid w:val="003F7259"/>
    <w:rsid w:val="00420C14"/>
    <w:rsid w:val="0044344C"/>
    <w:rsid w:val="004644F6"/>
    <w:rsid w:val="00485125"/>
    <w:rsid w:val="004F6954"/>
    <w:rsid w:val="004F7D5E"/>
    <w:rsid w:val="005B23BA"/>
    <w:rsid w:val="005B2D66"/>
    <w:rsid w:val="005F5F5E"/>
    <w:rsid w:val="00614358"/>
    <w:rsid w:val="00656BD7"/>
    <w:rsid w:val="00683435"/>
    <w:rsid w:val="00686CF8"/>
    <w:rsid w:val="006D2061"/>
    <w:rsid w:val="006D75B7"/>
    <w:rsid w:val="006F6DD2"/>
    <w:rsid w:val="00701307"/>
    <w:rsid w:val="007229D6"/>
    <w:rsid w:val="00735107"/>
    <w:rsid w:val="007462E2"/>
    <w:rsid w:val="00771FB2"/>
    <w:rsid w:val="0077644C"/>
    <w:rsid w:val="00790B4D"/>
    <w:rsid w:val="007962CE"/>
    <w:rsid w:val="007A28CD"/>
    <w:rsid w:val="007E6BF6"/>
    <w:rsid w:val="007F5F9F"/>
    <w:rsid w:val="007F7ECA"/>
    <w:rsid w:val="0080350F"/>
    <w:rsid w:val="00803C5A"/>
    <w:rsid w:val="00815A6A"/>
    <w:rsid w:val="008167B4"/>
    <w:rsid w:val="008176D3"/>
    <w:rsid w:val="008236D7"/>
    <w:rsid w:val="008402E1"/>
    <w:rsid w:val="008534C0"/>
    <w:rsid w:val="00864E5F"/>
    <w:rsid w:val="008754F3"/>
    <w:rsid w:val="00885F5F"/>
    <w:rsid w:val="008B39CD"/>
    <w:rsid w:val="008C14D3"/>
    <w:rsid w:val="008C2614"/>
    <w:rsid w:val="008E5BFE"/>
    <w:rsid w:val="00913486"/>
    <w:rsid w:val="00914F54"/>
    <w:rsid w:val="0093534F"/>
    <w:rsid w:val="00952579"/>
    <w:rsid w:val="009671B9"/>
    <w:rsid w:val="009C39E1"/>
    <w:rsid w:val="009F7BCD"/>
    <w:rsid w:val="00A01271"/>
    <w:rsid w:val="00A238CD"/>
    <w:rsid w:val="00A373A0"/>
    <w:rsid w:val="00A3791C"/>
    <w:rsid w:val="00A430A0"/>
    <w:rsid w:val="00A91A54"/>
    <w:rsid w:val="00A932AD"/>
    <w:rsid w:val="00AA1812"/>
    <w:rsid w:val="00AD4040"/>
    <w:rsid w:val="00AF56DF"/>
    <w:rsid w:val="00B3036D"/>
    <w:rsid w:val="00B8683B"/>
    <w:rsid w:val="00B9068F"/>
    <w:rsid w:val="00BC6258"/>
    <w:rsid w:val="00BF2219"/>
    <w:rsid w:val="00BF68CF"/>
    <w:rsid w:val="00C010F2"/>
    <w:rsid w:val="00C031AE"/>
    <w:rsid w:val="00C21F5B"/>
    <w:rsid w:val="00C40B93"/>
    <w:rsid w:val="00C42E27"/>
    <w:rsid w:val="00C710F1"/>
    <w:rsid w:val="00C821FF"/>
    <w:rsid w:val="00CF5C6B"/>
    <w:rsid w:val="00D10223"/>
    <w:rsid w:val="00D32127"/>
    <w:rsid w:val="00D613E7"/>
    <w:rsid w:val="00D93D26"/>
    <w:rsid w:val="00DC132E"/>
    <w:rsid w:val="00E06663"/>
    <w:rsid w:val="00E26EC6"/>
    <w:rsid w:val="00E40858"/>
    <w:rsid w:val="00E846E5"/>
    <w:rsid w:val="00E907D3"/>
    <w:rsid w:val="00EC5845"/>
    <w:rsid w:val="00ED16AC"/>
    <w:rsid w:val="00ED23B8"/>
    <w:rsid w:val="00EE3DE9"/>
    <w:rsid w:val="00F01398"/>
    <w:rsid w:val="00F46E12"/>
    <w:rsid w:val="00F559DC"/>
    <w:rsid w:val="00F66E4A"/>
    <w:rsid w:val="00F83A7F"/>
    <w:rsid w:val="00F8739B"/>
    <w:rsid w:val="00F87A4D"/>
    <w:rsid w:val="00FC0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2EC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BCD"/>
    <w:pPr>
      <w:ind w:left="720"/>
      <w:contextualSpacing/>
    </w:pPr>
    <w:rPr>
      <w:rFonts w:ascii="Times New Roman" w:hAnsi="Times New Roman" w:cs="Times New Roman"/>
      <w:lang w:eastAsia="ja-JP"/>
    </w:rPr>
  </w:style>
  <w:style w:type="paragraph" w:styleId="Footer">
    <w:name w:val="footer"/>
    <w:basedOn w:val="Normal"/>
    <w:link w:val="FooterChar"/>
    <w:uiPriority w:val="99"/>
    <w:unhideWhenUsed/>
    <w:rsid w:val="00354DC1"/>
    <w:pPr>
      <w:tabs>
        <w:tab w:val="center" w:pos="4320"/>
        <w:tab w:val="right" w:pos="8640"/>
      </w:tabs>
    </w:pPr>
  </w:style>
  <w:style w:type="character" w:customStyle="1" w:styleId="FooterChar">
    <w:name w:val="Footer Char"/>
    <w:basedOn w:val="DefaultParagraphFont"/>
    <w:link w:val="Footer"/>
    <w:uiPriority w:val="99"/>
    <w:rsid w:val="00354DC1"/>
  </w:style>
  <w:style w:type="character" w:styleId="PageNumber">
    <w:name w:val="page number"/>
    <w:basedOn w:val="DefaultParagraphFont"/>
    <w:uiPriority w:val="99"/>
    <w:semiHidden/>
    <w:unhideWhenUsed/>
    <w:rsid w:val="00354DC1"/>
  </w:style>
  <w:style w:type="paragraph" w:styleId="Header">
    <w:name w:val="header"/>
    <w:basedOn w:val="Normal"/>
    <w:link w:val="HeaderChar"/>
    <w:uiPriority w:val="99"/>
    <w:unhideWhenUsed/>
    <w:rsid w:val="00F87A4D"/>
    <w:pPr>
      <w:tabs>
        <w:tab w:val="center" w:pos="4320"/>
        <w:tab w:val="right" w:pos="8640"/>
      </w:tabs>
    </w:pPr>
  </w:style>
  <w:style w:type="character" w:customStyle="1" w:styleId="HeaderChar">
    <w:name w:val="Header Char"/>
    <w:basedOn w:val="DefaultParagraphFont"/>
    <w:link w:val="Header"/>
    <w:uiPriority w:val="99"/>
    <w:rsid w:val="00F87A4D"/>
  </w:style>
  <w:style w:type="paragraph" w:styleId="BalloonText">
    <w:name w:val="Balloon Text"/>
    <w:basedOn w:val="Normal"/>
    <w:link w:val="BalloonTextChar"/>
    <w:uiPriority w:val="99"/>
    <w:semiHidden/>
    <w:unhideWhenUsed/>
    <w:rsid w:val="00F87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A4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F1FDD"/>
    <w:rPr>
      <w:sz w:val="18"/>
      <w:szCs w:val="18"/>
    </w:rPr>
  </w:style>
  <w:style w:type="paragraph" w:styleId="CommentText">
    <w:name w:val="annotation text"/>
    <w:basedOn w:val="Normal"/>
    <w:link w:val="CommentTextChar"/>
    <w:uiPriority w:val="99"/>
    <w:semiHidden/>
    <w:unhideWhenUsed/>
    <w:rsid w:val="001F1FDD"/>
  </w:style>
  <w:style w:type="character" w:customStyle="1" w:styleId="CommentTextChar">
    <w:name w:val="Comment Text Char"/>
    <w:basedOn w:val="DefaultParagraphFont"/>
    <w:link w:val="CommentText"/>
    <w:uiPriority w:val="99"/>
    <w:semiHidden/>
    <w:rsid w:val="001F1FDD"/>
  </w:style>
  <w:style w:type="paragraph" w:styleId="CommentSubject">
    <w:name w:val="annotation subject"/>
    <w:basedOn w:val="CommentText"/>
    <w:next w:val="CommentText"/>
    <w:link w:val="CommentSubjectChar"/>
    <w:uiPriority w:val="99"/>
    <w:semiHidden/>
    <w:unhideWhenUsed/>
    <w:rsid w:val="001F1FDD"/>
    <w:rPr>
      <w:b/>
      <w:bCs/>
      <w:sz w:val="20"/>
      <w:szCs w:val="20"/>
    </w:rPr>
  </w:style>
  <w:style w:type="character" w:customStyle="1" w:styleId="CommentSubjectChar">
    <w:name w:val="Comment Subject Char"/>
    <w:basedOn w:val="CommentTextChar"/>
    <w:link w:val="CommentSubject"/>
    <w:uiPriority w:val="99"/>
    <w:semiHidden/>
    <w:rsid w:val="001F1FDD"/>
    <w:rPr>
      <w:b/>
      <w:bCs/>
      <w:sz w:val="20"/>
      <w:szCs w:val="20"/>
    </w:rPr>
  </w:style>
  <w:style w:type="character" w:styleId="Hyperlink">
    <w:name w:val="Hyperlink"/>
    <w:basedOn w:val="DefaultParagraphFont"/>
    <w:uiPriority w:val="99"/>
    <w:unhideWhenUsed/>
    <w:rsid w:val="00914F54"/>
    <w:rPr>
      <w:color w:val="0000FF" w:themeColor="hyperlink"/>
      <w:u w:val="single"/>
    </w:rPr>
  </w:style>
  <w:style w:type="character" w:styleId="FollowedHyperlink">
    <w:name w:val="FollowedHyperlink"/>
    <w:basedOn w:val="DefaultParagraphFont"/>
    <w:uiPriority w:val="99"/>
    <w:semiHidden/>
    <w:unhideWhenUsed/>
    <w:rsid w:val="00914F54"/>
    <w:rPr>
      <w:color w:val="800080" w:themeColor="followedHyperlink"/>
      <w:u w:val="single"/>
    </w:rPr>
  </w:style>
  <w:style w:type="paragraph" w:styleId="NormalWeb">
    <w:name w:val="Normal (Web)"/>
    <w:basedOn w:val="Normal"/>
    <w:uiPriority w:val="99"/>
    <w:semiHidden/>
    <w:unhideWhenUsed/>
    <w:rsid w:val="0002008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BCD"/>
    <w:pPr>
      <w:ind w:left="720"/>
      <w:contextualSpacing/>
    </w:pPr>
    <w:rPr>
      <w:rFonts w:ascii="Times New Roman" w:hAnsi="Times New Roman" w:cs="Times New Roman"/>
      <w:lang w:eastAsia="ja-JP"/>
    </w:rPr>
  </w:style>
  <w:style w:type="paragraph" w:styleId="Footer">
    <w:name w:val="footer"/>
    <w:basedOn w:val="Normal"/>
    <w:link w:val="FooterChar"/>
    <w:uiPriority w:val="99"/>
    <w:unhideWhenUsed/>
    <w:rsid w:val="00354DC1"/>
    <w:pPr>
      <w:tabs>
        <w:tab w:val="center" w:pos="4320"/>
        <w:tab w:val="right" w:pos="8640"/>
      </w:tabs>
    </w:pPr>
  </w:style>
  <w:style w:type="character" w:customStyle="1" w:styleId="FooterChar">
    <w:name w:val="Footer Char"/>
    <w:basedOn w:val="DefaultParagraphFont"/>
    <w:link w:val="Footer"/>
    <w:uiPriority w:val="99"/>
    <w:rsid w:val="00354DC1"/>
  </w:style>
  <w:style w:type="character" w:styleId="PageNumber">
    <w:name w:val="page number"/>
    <w:basedOn w:val="DefaultParagraphFont"/>
    <w:uiPriority w:val="99"/>
    <w:semiHidden/>
    <w:unhideWhenUsed/>
    <w:rsid w:val="00354DC1"/>
  </w:style>
  <w:style w:type="paragraph" w:styleId="Header">
    <w:name w:val="header"/>
    <w:basedOn w:val="Normal"/>
    <w:link w:val="HeaderChar"/>
    <w:uiPriority w:val="99"/>
    <w:unhideWhenUsed/>
    <w:rsid w:val="00F87A4D"/>
    <w:pPr>
      <w:tabs>
        <w:tab w:val="center" w:pos="4320"/>
        <w:tab w:val="right" w:pos="8640"/>
      </w:tabs>
    </w:pPr>
  </w:style>
  <w:style w:type="character" w:customStyle="1" w:styleId="HeaderChar">
    <w:name w:val="Header Char"/>
    <w:basedOn w:val="DefaultParagraphFont"/>
    <w:link w:val="Header"/>
    <w:uiPriority w:val="99"/>
    <w:rsid w:val="00F87A4D"/>
  </w:style>
  <w:style w:type="paragraph" w:styleId="BalloonText">
    <w:name w:val="Balloon Text"/>
    <w:basedOn w:val="Normal"/>
    <w:link w:val="BalloonTextChar"/>
    <w:uiPriority w:val="99"/>
    <w:semiHidden/>
    <w:unhideWhenUsed/>
    <w:rsid w:val="00F87A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7A4D"/>
    <w:rPr>
      <w:rFonts w:ascii="Lucida Grande" w:hAnsi="Lucida Grande" w:cs="Lucida Grande"/>
      <w:sz w:val="18"/>
      <w:szCs w:val="18"/>
    </w:rPr>
  </w:style>
  <w:style w:type="character" w:styleId="CommentReference">
    <w:name w:val="annotation reference"/>
    <w:basedOn w:val="DefaultParagraphFont"/>
    <w:uiPriority w:val="99"/>
    <w:semiHidden/>
    <w:unhideWhenUsed/>
    <w:rsid w:val="001F1FDD"/>
    <w:rPr>
      <w:sz w:val="18"/>
      <w:szCs w:val="18"/>
    </w:rPr>
  </w:style>
  <w:style w:type="paragraph" w:styleId="CommentText">
    <w:name w:val="annotation text"/>
    <w:basedOn w:val="Normal"/>
    <w:link w:val="CommentTextChar"/>
    <w:uiPriority w:val="99"/>
    <w:semiHidden/>
    <w:unhideWhenUsed/>
    <w:rsid w:val="001F1FDD"/>
  </w:style>
  <w:style w:type="character" w:customStyle="1" w:styleId="CommentTextChar">
    <w:name w:val="Comment Text Char"/>
    <w:basedOn w:val="DefaultParagraphFont"/>
    <w:link w:val="CommentText"/>
    <w:uiPriority w:val="99"/>
    <w:semiHidden/>
    <w:rsid w:val="001F1FDD"/>
  </w:style>
  <w:style w:type="paragraph" w:styleId="CommentSubject">
    <w:name w:val="annotation subject"/>
    <w:basedOn w:val="CommentText"/>
    <w:next w:val="CommentText"/>
    <w:link w:val="CommentSubjectChar"/>
    <w:uiPriority w:val="99"/>
    <w:semiHidden/>
    <w:unhideWhenUsed/>
    <w:rsid w:val="001F1FDD"/>
    <w:rPr>
      <w:b/>
      <w:bCs/>
      <w:sz w:val="20"/>
      <w:szCs w:val="20"/>
    </w:rPr>
  </w:style>
  <w:style w:type="character" w:customStyle="1" w:styleId="CommentSubjectChar">
    <w:name w:val="Comment Subject Char"/>
    <w:basedOn w:val="CommentTextChar"/>
    <w:link w:val="CommentSubject"/>
    <w:uiPriority w:val="99"/>
    <w:semiHidden/>
    <w:rsid w:val="001F1FDD"/>
    <w:rPr>
      <w:b/>
      <w:bCs/>
      <w:sz w:val="20"/>
      <w:szCs w:val="20"/>
    </w:rPr>
  </w:style>
  <w:style w:type="character" w:styleId="Hyperlink">
    <w:name w:val="Hyperlink"/>
    <w:basedOn w:val="DefaultParagraphFont"/>
    <w:uiPriority w:val="99"/>
    <w:unhideWhenUsed/>
    <w:rsid w:val="00914F54"/>
    <w:rPr>
      <w:color w:val="0000FF" w:themeColor="hyperlink"/>
      <w:u w:val="single"/>
    </w:rPr>
  </w:style>
  <w:style w:type="character" w:styleId="FollowedHyperlink">
    <w:name w:val="FollowedHyperlink"/>
    <w:basedOn w:val="DefaultParagraphFont"/>
    <w:uiPriority w:val="99"/>
    <w:semiHidden/>
    <w:unhideWhenUsed/>
    <w:rsid w:val="00914F54"/>
    <w:rPr>
      <w:color w:val="800080" w:themeColor="followedHyperlink"/>
      <w:u w:val="single"/>
    </w:rPr>
  </w:style>
  <w:style w:type="paragraph" w:styleId="NormalWeb">
    <w:name w:val="Normal (Web)"/>
    <w:basedOn w:val="Normal"/>
    <w:uiPriority w:val="99"/>
    <w:semiHidden/>
    <w:unhideWhenUsed/>
    <w:rsid w:val="0002008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7976">
      <w:bodyDiv w:val="1"/>
      <w:marLeft w:val="0"/>
      <w:marRight w:val="0"/>
      <w:marTop w:val="0"/>
      <w:marBottom w:val="0"/>
      <w:divBdr>
        <w:top w:val="none" w:sz="0" w:space="0" w:color="auto"/>
        <w:left w:val="none" w:sz="0" w:space="0" w:color="auto"/>
        <w:bottom w:val="none" w:sz="0" w:space="0" w:color="auto"/>
        <w:right w:val="none" w:sz="0" w:space="0" w:color="auto"/>
      </w:divBdr>
    </w:div>
    <w:div w:id="1185971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ren.petrick@mssm.edu"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1255</Words>
  <Characters>7159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Petrick</dc:creator>
  <cp:keywords/>
  <dc:description/>
  <cp:lastModifiedBy>Lauren Petrick</cp:lastModifiedBy>
  <cp:revision>2</cp:revision>
  <cp:lastPrinted>2019-03-11T14:40:00Z</cp:lastPrinted>
  <dcterms:created xsi:type="dcterms:W3CDTF">2020-05-11T19:27:00Z</dcterms:created>
  <dcterms:modified xsi:type="dcterms:W3CDTF">2020-05-11T19:27:00Z</dcterms:modified>
</cp:coreProperties>
</file>