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99426" w14:textId="77777777" w:rsidR="00B87AB0" w:rsidRDefault="00B87AB0" w:rsidP="00B87AB0">
      <w:pPr>
        <w:pStyle w:val="NormalWeb"/>
      </w:pPr>
      <w:r>
        <w:rPr>
          <w:rFonts w:ascii="Times New Roman,Bold" w:hAnsi="Times New Roman,Bold"/>
        </w:rPr>
        <w:t xml:space="preserve">Methods and Protocols </w:t>
      </w:r>
    </w:p>
    <w:p w14:paraId="44B53472" w14:textId="77777777" w:rsidR="00B87AB0" w:rsidRDefault="00B87AB0" w:rsidP="00B87AB0">
      <w:pPr>
        <w:pStyle w:val="NormalWeb"/>
      </w:pPr>
      <w:r>
        <w:rPr>
          <w:rFonts w:ascii="Times New Roman,BoldItalic" w:hAnsi="Times New Roman,BoldItalic"/>
        </w:rPr>
        <w:t xml:space="preserve">Animals </w:t>
      </w:r>
    </w:p>
    <w:p w14:paraId="76A9CD8E" w14:textId="77777777" w:rsidR="00B87AB0" w:rsidRDefault="00B87AB0" w:rsidP="00B87AB0">
      <w:pPr>
        <w:pStyle w:val="NormalWeb"/>
      </w:pPr>
      <w:r>
        <w:t xml:space="preserve">All mouse work was performed in accordance with the Institutional Animal Care and Use Committees (IACUC) and relevant guidelines of Boston Children’s Hospital. Embryonic day (E) 14.5 embryos from time-pregnant CD-1 (ICR) dams were purchased from Charles River Laboratories (CRL) for the baseline conditions metabolomics database and maternal kynurenine injection time-course experiments. E12.5 embryos from timed-pregnant C57BL/6 dams were purchased from CRL for maternal immune activation metabolomics experiments. For timed pregnancies, females were checked for the presence of plugs, and the date of the plug was noted as embryonic day 0.5 (E0.5). All animals were housed under 12hr/12hr day night cycle with access to standard chow and water </w:t>
      </w:r>
      <w:r>
        <w:rPr>
          <w:rFonts w:ascii="Times New Roman,Italic" w:hAnsi="Times New Roman,Italic"/>
        </w:rPr>
        <w:t>ad libitum</w:t>
      </w:r>
      <w:r>
        <w:t xml:space="preserve">. </w:t>
      </w:r>
    </w:p>
    <w:p w14:paraId="6B3FC01D" w14:textId="77777777" w:rsidR="00B87AB0" w:rsidRDefault="00B87AB0" w:rsidP="00B87AB0">
      <w:pPr>
        <w:pStyle w:val="NormalWeb"/>
      </w:pPr>
      <w:r>
        <w:rPr>
          <w:rFonts w:ascii="Times New Roman,BoldItalic" w:hAnsi="Times New Roman,BoldItalic"/>
        </w:rPr>
        <w:t xml:space="preserve">Embryonic and maternal body fluid and tissue collection and analysis </w:t>
      </w:r>
    </w:p>
    <w:p w14:paraId="07B9F85F" w14:textId="77777777" w:rsidR="00B87AB0" w:rsidRDefault="00B87AB0" w:rsidP="00B87AB0">
      <w:pPr>
        <w:pStyle w:val="NormalWeb"/>
      </w:pPr>
      <w:r>
        <w:t>Embryonic CSF (</w:t>
      </w:r>
      <w:proofErr w:type="spellStart"/>
      <w:r>
        <w:t>eCSF</w:t>
      </w:r>
      <w:proofErr w:type="spellEnd"/>
      <w:r>
        <w:t>) was collected by inserting a glass capillary into the cisterna magna and processed as described (</w:t>
      </w:r>
      <w:proofErr w:type="spellStart"/>
      <w:r>
        <w:t>Zappaterra</w:t>
      </w:r>
      <w:proofErr w:type="spellEnd"/>
      <w:r>
        <w:t xml:space="preserve"> </w:t>
      </w:r>
      <w:r>
        <w:rPr>
          <w:rFonts w:ascii="Times New Roman,Italic" w:hAnsi="Times New Roman,Italic"/>
        </w:rPr>
        <w:t>et al</w:t>
      </w:r>
      <w:r>
        <w:t xml:space="preserve">, 2013). Each CSF sample was pooled across litters, purity was verified visually with a dissection microscope, and then frozen on dry ice. Embryonic blood was collected by glass capillary following a neck artery nick and pooled across litters. Maternal blood was collected either by tail vein nick for non-terminal timepoints (e.g. prior to a 48h end-point collection) puncture for terminal timepoints (e.g. at 3h end-point collection or at 48h end-point collection). Serum samples were analyzed following coagulation, centrifugation, and then immediately put on dry ice. Embryonic and maternal livers were dissected and immediately transferred to dry ice. </w:t>
      </w:r>
    </w:p>
    <w:p w14:paraId="047A1448" w14:textId="77777777" w:rsidR="00B87AB0" w:rsidRDefault="00B87AB0" w:rsidP="00B87AB0">
      <w:pPr>
        <w:pStyle w:val="NormalWeb"/>
      </w:pPr>
      <w:r>
        <w:t xml:space="preserve">20 </w:t>
      </w:r>
    </w:p>
    <w:p w14:paraId="5A68B15F" w14:textId="77777777" w:rsidR="00B87AB0" w:rsidRDefault="00B87AB0" w:rsidP="00B87AB0">
      <w:pPr>
        <w:pStyle w:val="NormalWeb"/>
      </w:pPr>
      <w:r>
        <w:rPr>
          <w:rFonts w:ascii="Times New Roman,BoldItalic" w:hAnsi="Times New Roman,BoldItalic"/>
        </w:rPr>
        <w:t xml:space="preserve">Maternal immune activation and validation </w:t>
      </w:r>
    </w:p>
    <w:p w14:paraId="7D697195" w14:textId="77777777" w:rsidR="00B87AB0" w:rsidRDefault="00B87AB0" w:rsidP="00B87AB0">
      <w:pPr>
        <w:pStyle w:val="NormalWeb"/>
      </w:pPr>
      <w:r>
        <w:t xml:space="preserve">On E12.5, pregnant dams received a single dose (20 mg/kg, </w:t>
      </w:r>
      <w:proofErr w:type="spellStart"/>
      <w:r>
        <w:t>i.p.</w:t>
      </w:r>
      <w:proofErr w:type="spellEnd"/>
      <w:r>
        <w:t xml:space="preserve">) of </w:t>
      </w:r>
      <w:proofErr w:type="spellStart"/>
      <w:r>
        <w:t>polyinosinic-polycytidylic</w:t>
      </w:r>
      <w:proofErr w:type="spellEnd"/>
      <w:r>
        <w:t xml:space="preserve"> acid (</w:t>
      </w:r>
      <w:proofErr w:type="spellStart"/>
      <w:r>
        <w:t>polyI:C</w:t>
      </w:r>
      <w:proofErr w:type="spellEnd"/>
      <w:r>
        <w:t xml:space="preserve">, Sigma Aldrich) or sterile saline as vehicle control. To confirm maternal immune activation, maternal blood was collected at 3h following maternal </w:t>
      </w:r>
      <w:proofErr w:type="spellStart"/>
      <w:r>
        <w:t>polyI:C</w:t>
      </w:r>
      <w:proofErr w:type="spellEnd"/>
      <w:r>
        <w:t xml:space="preserve"> injection by either tail- nick or intracardiac puncture. Maternal blood was also collected 48h following maternal </w:t>
      </w:r>
      <w:proofErr w:type="spellStart"/>
      <w:r>
        <w:t>polyI:C</w:t>
      </w:r>
      <w:proofErr w:type="spellEnd"/>
      <w:r>
        <w:t xml:space="preserve"> injection by intracardiac puncture. After maternal blood samples coagulated and centrifuged, 3h and 48h MIA serum samples were analyzed by </w:t>
      </w:r>
      <w:proofErr w:type="spellStart"/>
      <w:r>
        <w:t>LEGENDplex</w:t>
      </w:r>
      <w:proofErr w:type="spellEnd"/>
      <w:r>
        <w:t xml:space="preserve"> Mouse Inflammation Panel (13- plex with V-bottom Plate) FACS-ELISA (</w:t>
      </w:r>
      <w:proofErr w:type="spellStart"/>
      <w:r>
        <w:t>BioLegend</w:t>
      </w:r>
      <w:proofErr w:type="spellEnd"/>
      <w:r>
        <w:t xml:space="preserve">). Validation of MIA was performed by measurements of cytokine levels in maternal serum using FACS-ELISA. Results reported in EV3B are from mice that are the source of the data of experiment 1 harvested at 48h that is reported in Figure 3G, I. Results reported in EV3D are from mice that are the source of the data of experiment 2 harvested at 48h that is reported in Figure 3H, J. Statistical analyses were performed using unpaired t-tests through the GraphPad Prism 9.2.0 and Prism 10 software. </w:t>
      </w:r>
    </w:p>
    <w:p w14:paraId="51376CCB" w14:textId="77777777" w:rsidR="00B87AB0" w:rsidRDefault="00B87AB0" w:rsidP="00B87AB0">
      <w:pPr>
        <w:pStyle w:val="NormalWeb"/>
      </w:pPr>
      <w:r>
        <w:rPr>
          <w:rFonts w:ascii="Times New Roman,BoldItalic" w:hAnsi="Times New Roman,BoldItalic"/>
        </w:rPr>
        <w:t>Sample preparation for LC-MS analysis of polar metabolites from CSF, plasma, and liver from embryonic and adult mice</w:t>
      </w:r>
      <w:r>
        <w:rPr>
          <w:rFonts w:ascii="Times New Roman,BoldItalic" w:hAnsi="Times New Roman,BoldItalic"/>
        </w:rPr>
        <w:br/>
      </w:r>
      <w:r>
        <w:t xml:space="preserve">We used fresh frozen tissues or processed (see method above) CSF and plasma. Per condition, 5- </w:t>
      </w:r>
      <w:r>
        <w:lastRenderedPageBreak/>
        <w:t xml:space="preserve">10 </w:t>
      </w:r>
      <w:proofErr w:type="spellStart"/>
      <w:r>
        <w:t>μl</w:t>
      </w:r>
      <w:proofErr w:type="spellEnd"/>
      <w:r>
        <w:t xml:space="preserve"> embryonic CSF, 5 </w:t>
      </w:r>
      <w:proofErr w:type="spellStart"/>
      <w:r>
        <w:t>μl</w:t>
      </w:r>
      <w:proofErr w:type="spellEnd"/>
      <w:r>
        <w:t xml:space="preserve"> plasma or a grain-of-rice sized sample of maternal and embryonic livers were extracted. Tissues were homogenized with a handheld homogenizer (Sigma, Z359971) and briefly sonicated. 300μl of extraction solvent (80% LC/MS-grade methanol, 20% 25 mM Ammonium Acetate and 2.5 mM Na-Ascorbate prepared in LC/MS water and supplemented with isotopically labeled internal standards (17 amino acids and isotopically labeled reduced glutathione, Cambridge Isotope Laboratories, MSK-A2-1.2 and CNLM-6245- 10)) was used per sample. After centrifugation for 10 min at maximum speed on a benchtop centrifuge (Eppendorf) the cleared supernatant was dried using a nitrogen dryer (</w:t>
      </w:r>
      <w:proofErr w:type="spellStart"/>
      <w:r>
        <w:t>ThermoFisher</w:t>
      </w:r>
      <w:proofErr w:type="spellEnd"/>
      <w:r>
        <w:t xml:space="preserve"> Scientific, TS-18826) and reconstituted in 17 </w:t>
      </w:r>
      <w:proofErr w:type="spellStart"/>
      <w:r>
        <w:t>μl</w:t>
      </w:r>
      <w:proofErr w:type="spellEnd"/>
      <w:r>
        <w:t xml:space="preserve"> (</w:t>
      </w:r>
      <w:proofErr w:type="spellStart"/>
      <w:r>
        <w:t>eCSF</w:t>
      </w:r>
      <w:proofErr w:type="spellEnd"/>
      <w:r>
        <w:t>) or 25ul (plasma, tissues) “</w:t>
      </w:r>
      <w:proofErr w:type="spellStart"/>
      <w:r>
        <w:t>QReSS</w:t>
      </w:r>
      <w:proofErr w:type="spellEnd"/>
      <w:r>
        <w:t xml:space="preserve">” water (supplemented with </w:t>
      </w:r>
      <w:proofErr w:type="spellStart"/>
      <w:r>
        <w:t>QReSS</w:t>
      </w:r>
      <w:proofErr w:type="spellEnd"/>
      <w:r>
        <w:t xml:space="preserve">, Cambridge Isotope Laboratories, MSK-QRESS-KIT) by brief </w:t>
      </w:r>
      <w:proofErr w:type="spellStart"/>
      <w:r>
        <w:t>vortexing</w:t>
      </w:r>
      <w:proofErr w:type="spellEnd"/>
      <w:r>
        <w:t xml:space="preserve">. Extracted metabolites were spun again and the cleared supernatant was transferred to LC-MS micro vials. A small amount of each sample was pooled and serially diluted 3 and 10- fold for quality controls (pool-QC) throughout the run of each batch. About 1⁄2 of </w:t>
      </w:r>
      <w:proofErr w:type="spellStart"/>
      <w:r>
        <w:t>eCSF</w:t>
      </w:r>
      <w:proofErr w:type="spellEnd"/>
      <w:r>
        <w:t xml:space="preserve"> (7μl), </w:t>
      </w:r>
    </w:p>
    <w:p w14:paraId="565597C3" w14:textId="77777777" w:rsidR="00B87AB0" w:rsidRDefault="00B87AB0" w:rsidP="00B87AB0">
      <w:pPr>
        <w:pStyle w:val="NormalWeb"/>
      </w:pPr>
      <w:r>
        <w:t xml:space="preserve">21 </w:t>
      </w:r>
    </w:p>
    <w:p w14:paraId="2CAC02E3" w14:textId="77777777" w:rsidR="00B87AB0" w:rsidRDefault="00B87AB0" w:rsidP="00B87AB0">
      <w:pPr>
        <w:pStyle w:val="NormalWeb"/>
      </w:pPr>
      <w:r>
        <w:t>1/25</w:t>
      </w:r>
      <w:proofErr w:type="spellStart"/>
      <w:r>
        <w:rPr>
          <w:position w:val="12"/>
          <w:sz w:val="16"/>
          <w:szCs w:val="16"/>
        </w:rPr>
        <w:t>th</w:t>
      </w:r>
      <w:proofErr w:type="spellEnd"/>
      <w:r>
        <w:rPr>
          <w:position w:val="12"/>
          <w:sz w:val="16"/>
          <w:szCs w:val="16"/>
        </w:rPr>
        <w:t xml:space="preserve"> </w:t>
      </w:r>
      <w:r>
        <w:t>of plasma (1μl), and 1/25</w:t>
      </w:r>
      <w:proofErr w:type="spellStart"/>
      <w:r>
        <w:rPr>
          <w:position w:val="12"/>
          <w:sz w:val="16"/>
          <w:szCs w:val="16"/>
        </w:rPr>
        <w:t>th</w:t>
      </w:r>
      <w:proofErr w:type="spellEnd"/>
      <w:r>
        <w:rPr>
          <w:position w:val="12"/>
          <w:sz w:val="16"/>
          <w:szCs w:val="16"/>
        </w:rPr>
        <w:t xml:space="preserve"> </w:t>
      </w:r>
      <w:r>
        <w:t xml:space="preserve">of tissue (1μl) were injected onto a chromatographic column and subsequently analyzed using LCMS. </w:t>
      </w:r>
    </w:p>
    <w:p w14:paraId="5DF77948" w14:textId="77777777" w:rsidR="00B87AB0" w:rsidRDefault="00B87AB0" w:rsidP="00B87AB0">
      <w:pPr>
        <w:pStyle w:val="NormalWeb"/>
      </w:pPr>
      <w:r>
        <w:rPr>
          <w:rFonts w:ascii="Times New Roman,BoldItalic" w:hAnsi="Times New Roman,BoldItalic"/>
        </w:rPr>
        <w:t xml:space="preserve">Chromatographic conditions for LC-MS </w:t>
      </w:r>
    </w:p>
    <w:p w14:paraId="79F4AF8C" w14:textId="77777777" w:rsidR="00B87AB0" w:rsidRDefault="00B87AB0" w:rsidP="00B87AB0">
      <w:pPr>
        <w:pStyle w:val="NormalWeb"/>
      </w:pPr>
      <w:r>
        <w:t>ZIC-</w:t>
      </w:r>
      <w:proofErr w:type="spellStart"/>
      <w:r>
        <w:t>pHILIC</w:t>
      </w:r>
      <w:proofErr w:type="spellEnd"/>
      <w:r>
        <w:t xml:space="preserve"> chromatography was used for polar metabolites: an appropriate volume of reconstituted sample was injected into a ZIC-</w:t>
      </w:r>
      <w:proofErr w:type="spellStart"/>
      <w:r>
        <w:t>pHILIC</w:t>
      </w:r>
      <w:proofErr w:type="spellEnd"/>
      <w:r>
        <w:t xml:space="preserve"> 150 × 2.1 mm (5 </w:t>
      </w:r>
      <w:proofErr w:type="spellStart"/>
      <w:r>
        <w:t>μm</w:t>
      </w:r>
      <w:proofErr w:type="spellEnd"/>
      <w:r>
        <w:t xml:space="preserve"> particle size) column (EMD Millipore) operated on a </w:t>
      </w:r>
      <w:proofErr w:type="spellStart"/>
      <w:r>
        <w:t>VanquishTM</w:t>
      </w:r>
      <w:proofErr w:type="spellEnd"/>
      <w:r>
        <w:t xml:space="preserve"> Flex UHPLC Systems (</w:t>
      </w:r>
      <w:proofErr w:type="spellStart"/>
      <w:r>
        <w:t>Thermo</w:t>
      </w:r>
      <w:proofErr w:type="spellEnd"/>
      <w:r>
        <w:t xml:space="preserve"> Fisher Scientific, San Jose, CA). Chromatographic separation was achieved under the following conditions: buffer A was acetonitrile; buffer B was 20 mM ammonium carbonate, 0.1% ammonium hydroxide. Gradient conditions </w:t>
      </w:r>
      <w:proofErr w:type="gramStart"/>
      <w:r>
        <w:t>were:</w:t>
      </w:r>
      <w:proofErr w:type="gramEnd"/>
      <w:r>
        <w:t xml:space="preserve"> linear gradient from 20% to 80% B; 20–20.5 min: from 80% to 20% B; 20.5–28 min: hold at 20% B. The column oven and autosampler tray were held at 25 °C and 4 °C, respectively. Chromatographic performance was quality controlled using a mixture of unlabeled standard amino acids and a mixture of chemically diverse compounds (Cambridge Isotope Laboratories, MSK-A2-US-1.2 and MSK-QRESS-US-KIT) with 1μl of each injected before or after every run on our HILIC method. </w:t>
      </w:r>
    </w:p>
    <w:p w14:paraId="3AFF7962" w14:textId="77777777" w:rsidR="00B87AB0" w:rsidRDefault="00B87AB0" w:rsidP="00B87AB0">
      <w:pPr>
        <w:pStyle w:val="NormalWeb"/>
      </w:pPr>
      <w:r>
        <w:rPr>
          <w:rFonts w:ascii="Times New Roman,BoldItalic" w:hAnsi="Times New Roman,BoldItalic"/>
        </w:rPr>
        <w:t xml:space="preserve">MS data acquisition conditions for targeted or untargeted analysis of polar metabolites </w:t>
      </w:r>
    </w:p>
    <w:p w14:paraId="75E07140" w14:textId="77777777" w:rsidR="00B87AB0" w:rsidRDefault="00B87AB0" w:rsidP="00B87AB0">
      <w:pPr>
        <w:pStyle w:val="NormalWeb"/>
      </w:pPr>
      <w:r>
        <w:t xml:space="preserve">MS data acquisition was performed using a </w:t>
      </w:r>
      <w:proofErr w:type="spellStart"/>
      <w:r>
        <w:t>QExactive</w:t>
      </w:r>
      <w:proofErr w:type="spellEnd"/>
      <w:r>
        <w:t xml:space="preserve"> benchtop orbitrap mass spectrometer equipped with an Ion Max source and a HESI II probe (</w:t>
      </w:r>
      <w:proofErr w:type="spellStart"/>
      <w:r>
        <w:t>Thermo</w:t>
      </w:r>
      <w:proofErr w:type="spellEnd"/>
      <w:r>
        <w:t xml:space="preserve"> Fisher Scientific, San Jose, CA) and was performed in positive and negative ionization mode in a range of m/z= 70–1000, with the resolution set at 70,000, the AGC target at 1x10</w:t>
      </w:r>
      <w:r>
        <w:rPr>
          <w:position w:val="12"/>
          <w:sz w:val="16"/>
          <w:szCs w:val="16"/>
        </w:rPr>
        <w:t>6</w:t>
      </w:r>
      <w:r>
        <w:t xml:space="preserve">, and the maximum injection time (Max IT) at 20 msec. Optimal HESI conditions were determined utilizing a mix of chemical standards: Sheath gas flow rate: 35; Aug gas flow rate: 8; Sweet gas flow rate: 1; Spray voltage: 3.5kV (pos), 2.8kV (neg); Capillary temperature: 320oC; S-lens RF: 50; Aux gas heater temperature: 350 </w:t>
      </w:r>
      <w:proofErr w:type="spellStart"/>
      <w:r>
        <w:t>oC.</w:t>
      </w:r>
      <w:proofErr w:type="spellEnd"/>
      <w:r>
        <w:t xml:space="preserve"> For untargeted analysis, additional Top8 method (see below) was employed in either positive or negative mode with </w:t>
      </w:r>
      <w:proofErr w:type="spellStart"/>
      <w:r>
        <w:t>ddMS</w:t>
      </w:r>
      <w:proofErr w:type="spellEnd"/>
      <w:r>
        <w:t xml:space="preserve"> settings as: the resolution set at 17,500, the AGC target at 1x10</w:t>
      </w:r>
      <w:r>
        <w:rPr>
          <w:position w:val="12"/>
          <w:sz w:val="16"/>
          <w:szCs w:val="16"/>
        </w:rPr>
        <w:t>5</w:t>
      </w:r>
      <w:r>
        <w:t xml:space="preserve">, the maximum IT at 50 msec, isolation window at 1.0 m/z, and stepped NCE at 20,40 and 80. </w:t>
      </w:r>
    </w:p>
    <w:p w14:paraId="3E659D7C" w14:textId="77777777" w:rsidR="00B87AB0" w:rsidRDefault="00B87AB0" w:rsidP="00B87AB0">
      <w:pPr>
        <w:pStyle w:val="NormalWeb"/>
      </w:pPr>
      <w:r>
        <w:lastRenderedPageBreak/>
        <w:t xml:space="preserve">As our software/hardware did not allow for the widely employed </w:t>
      </w:r>
      <w:proofErr w:type="spellStart"/>
      <w:r>
        <w:t>AquireX</w:t>
      </w:r>
      <w:proofErr w:type="spellEnd"/>
      <w:r>
        <w:t xml:space="preserve"> assisted MS2 inclusion/exclusion list data collection, we performed repeated data collections with the following logic: At the end of each experimental batch spectral data was collected in </w:t>
      </w:r>
      <w:proofErr w:type="gramStart"/>
      <w:r>
        <w:t>both</w:t>
      </w:r>
      <w:proofErr w:type="gramEnd"/>
      <w:r>
        <w:t xml:space="preserve"> </w:t>
      </w:r>
    </w:p>
    <w:p w14:paraId="5B5773FD" w14:textId="77777777" w:rsidR="00B87AB0" w:rsidRDefault="00B87AB0" w:rsidP="00B87AB0">
      <w:pPr>
        <w:pStyle w:val="NormalWeb"/>
      </w:pPr>
      <w:r>
        <w:t xml:space="preserve">22 </w:t>
      </w:r>
    </w:p>
    <w:p w14:paraId="450997DD" w14:textId="77777777" w:rsidR="00B87AB0" w:rsidRDefault="00B87AB0" w:rsidP="00B87AB0">
      <w:pPr>
        <w:pStyle w:val="NormalWeb"/>
      </w:pPr>
      <w:r>
        <w:t>positive and negative mode on additional injections of the pool-QC. We collected spectral data in a data-dependent acquisition mode (DDA) such that for every MS</w:t>
      </w:r>
      <w:r>
        <w:rPr>
          <w:position w:val="12"/>
          <w:sz w:val="16"/>
          <w:szCs w:val="16"/>
        </w:rPr>
        <w:t>1</w:t>
      </w:r>
      <w:r>
        <w:t>-level scan the top 8 most abundant ions were picked for fragmentation (Top8-level experiment), an exclusion window was set to 6 seconds, such that ions picked for fragmentation would be put on an exclusion list for 6 seconds before they could be picked for fragmentation again. This allowed for the collection of about 300-500 individual ion spectral scans per sample injection. Then, MS</w:t>
      </w:r>
      <w:r>
        <w:rPr>
          <w:position w:val="12"/>
          <w:sz w:val="16"/>
          <w:szCs w:val="16"/>
        </w:rPr>
        <w:t xml:space="preserve">1 </w:t>
      </w:r>
      <w:r>
        <w:t>and MS</w:t>
      </w:r>
      <w:r>
        <w:rPr>
          <w:position w:val="12"/>
          <w:sz w:val="16"/>
          <w:szCs w:val="16"/>
        </w:rPr>
        <w:t xml:space="preserve">2 </w:t>
      </w:r>
      <w:r>
        <w:t xml:space="preserve">level data were quickly analyzed using </w:t>
      </w:r>
      <w:proofErr w:type="spellStart"/>
      <w:r>
        <w:t>CompoundDiscoverer</w:t>
      </w:r>
      <w:proofErr w:type="spellEnd"/>
      <w:r>
        <w:t xml:space="preserve"> and detected features were used to create an inclusion and exclusion list (per polarity) that ensured maximal inclusion of interesting features (features with signals above mock level and with no MS</w:t>
      </w:r>
      <w:r>
        <w:rPr>
          <w:position w:val="12"/>
          <w:sz w:val="16"/>
          <w:szCs w:val="16"/>
        </w:rPr>
        <w:t xml:space="preserve">2 </w:t>
      </w:r>
      <w:r>
        <w:t>spectra collected) and maximal exclusion of non-interesting features (features present in mock samples for which MS</w:t>
      </w:r>
      <w:r>
        <w:rPr>
          <w:position w:val="12"/>
          <w:sz w:val="16"/>
          <w:szCs w:val="16"/>
        </w:rPr>
        <w:t xml:space="preserve">2 </w:t>
      </w:r>
      <w:r>
        <w:t xml:space="preserve">spectra was already collected). This strategy was then performed iteratively up to 4 times. We noted an incremental increase in the number of features with associated spectra generated with this strategy, however we note that this strategy did not perform as well as reported from an </w:t>
      </w:r>
      <w:proofErr w:type="spellStart"/>
      <w:r>
        <w:t>AquireX</w:t>
      </w:r>
      <w:proofErr w:type="spellEnd"/>
      <w:r>
        <w:t xml:space="preserve"> type of experiment. </w:t>
      </w:r>
    </w:p>
    <w:p w14:paraId="1C13C2CB" w14:textId="77777777" w:rsidR="00B87AB0" w:rsidRDefault="00B87AB0" w:rsidP="00B87AB0">
      <w:pPr>
        <w:pStyle w:val="NormalWeb"/>
      </w:pPr>
      <w:r>
        <w:rPr>
          <w:rFonts w:ascii="Times New Roman,BoldItalic" w:hAnsi="Times New Roman,BoldItalic"/>
        </w:rPr>
        <w:t>Generation of targeted metabolomics libraries (in-house MS</w:t>
      </w:r>
      <w:r>
        <w:rPr>
          <w:rFonts w:ascii="Times New Roman,BoldItalic" w:hAnsi="Times New Roman,BoldItalic"/>
          <w:position w:val="12"/>
          <w:sz w:val="16"/>
          <w:szCs w:val="16"/>
        </w:rPr>
        <w:t xml:space="preserve">1 </w:t>
      </w:r>
      <w:r>
        <w:rPr>
          <w:rFonts w:ascii="Times New Roman,BoldItalic" w:hAnsi="Times New Roman,BoldItalic"/>
        </w:rPr>
        <w:t>and MS</w:t>
      </w:r>
      <w:r>
        <w:rPr>
          <w:rFonts w:ascii="Times New Roman,BoldItalic" w:hAnsi="Times New Roman,BoldItalic"/>
          <w:position w:val="12"/>
          <w:sz w:val="16"/>
          <w:szCs w:val="16"/>
        </w:rPr>
        <w:t>2</w:t>
      </w:r>
      <w:r>
        <w:rPr>
          <w:rFonts w:ascii="Times New Roman,BoldItalic" w:hAnsi="Times New Roman,BoldItalic"/>
        </w:rPr>
        <w:t xml:space="preserve">-level databases) </w:t>
      </w:r>
    </w:p>
    <w:p w14:paraId="3D24A07E" w14:textId="77777777" w:rsidR="00B87AB0" w:rsidRDefault="00B87AB0" w:rsidP="00B87AB0">
      <w:pPr>
        <w:pStyle w:val="NormalWeb"/>
      </w:pPr>
      <w:r>
        <w:t>Two separate MS</w:t>
      </w:r>
      <w:r>
        <w:rPr>
          <w:position w:val="12"/>
          <w:sz w:val="16"/>
          <w:szCs w:val="16"/>
        </w:rPr>
        <w:t xml:space="preserve">1 </w:t>
      </w:r>
      <w:r>
        <w:t>and MS</w:t>
      </w:r>
      <w:r>
        <w:rPr>
          <w:position w:val="12"/>
          <w:sz w:val="16"/>
          <w:szCs w:val="16"/>
        </w:rPr>
        <w:t>2</w:t>
      </w:r>
      <w:r>
        <w:t>-level libraries were generated. A set of standards premixed in 7 individual pools were run on our LC-MS HILIC method. Information on this pool set has been previously published (</w:t>
      </w:r>
      <w:proofErr w:type="spellStart"/>
      <w:r>
        <w:t>Petrova</w:t>
      </w:r>
      <w:proofErr w:type="spellEnd"/>
      <w:r>
        <w:t xml:space="preserve"> </w:t>
      </w:r>
      <w:r>
        <w:rPr>
          <w:rFonts w:ascii="Times New Roman,Italic" w:hAnsi="Times New Roman,Italic"/>
        </w:rPr>
        <w:t>et al</w:t>
      </w:r>
      <w:r>
        <w:t xml:space="preserve">, 2021; Sullivan </w:t>
      </w:r>
      <w:r>
        <w:rPr>
          <w:rFonts w:ascii="Times New Roman,Italic" w:hAnsi="Times New Roman,Italic"/>
        </w:rPr>
        <w:t>et al</w:t>
      </w:r>
      <w:r>
        <w:t>, 2019). Briefly, we first collected MS</w:t>
      </w:r>
      <w:r>
        <w:rPr>
          <w:position w:val="12"/>
          <w:sz w:val="16"/>
          <w:szCs w:val="16"/>
        </w:rPr>
        <w:t xml:space="preserve">1 </w:t>
      </w:r>
      <w:r>
        <w:t>level information (retention time and peak shape and quality were noted, see Table EV1 see also Dataset EV3). To generate the MS</w:t>
      </w:r>
      <w:r>
        <w:rPr>
          <w:position w:val="12"/>
          <w:sz w:val="16"/>
          <w:szCs w:val="16"/>
        </w:rPr>
        <w:t>2</w:t>
      </w:r>
      <w:r>
        <w:t>-level database, each pool set was injected twice (for positive and negative mode), and specific inclusion lists were preset for a PRM-type of experiment. This inclusion list was based on the already determined retention times and was focused on compounds with peaks of minimum acceptable quality. Thus, high quality MS</w:t>
      </w:r>
      <w:r>
        <w:rPr>
          <w:position w:val="12"/>
          <w:sz w:val="16"/>
          <w:szCs w:val="16"/>
        </w:rPr>
        <w:t xml:space="preserve">2 </w:t>
      </w:r>
      <w:r>
        <w:t>data were collected per individual metabolite and MS</w:t>
      </w:r>
      <w:r>
        <w:rPr>
          <w:position w:val="12"/>
          <w:sz w:val="16"/>
          <w:szCs w:val="16"/>
        </w:rPr>
        <w:t xml:space="preserve">2 </w:t>
      </w:r>
      <w:r>
        <w:t>spectra were averaged out from three different HCD cell energies: 20, 40, 80 NCE. We named this database “</w:t>
      </w:r>
      <w:proofErr w:type="spellStart"/>
      <w:r>
        <w:t>HILIC_all</w:t>
      </w:r>
      <w:proofErr w:type="spellEnd"/>
      <w:r>
        <w:t>” (Dataset EV1). The second library set was based on the MSMLS library of compounds (MSMLS, IROA Technologies’), which we named “MSMLS_HILIC”. Compounds were solubilized and pooled based on manufacturer’s recommendations. Each pool was run as an individual injection and MS</w:t>
      </w:r>
      <w:r>
        <w:rPr>
          <w:position w:val="12"/>
          <w:sz w:val="16"/>
          <w:szCs w:val="16"/>
        </w:rPr>
        <w:t xml:space="preserve">1 </w:t>
      </w:r>
      <w:r>
        <w:t>information (retention time and peak shape and quality) was noted. (Table EV2 and see also Dataset EV4). Then, spectral MS</w:t>
      </w:r>
      <w:r>
        <w:rPr>
          <w:position w:val="12"/>
          <w:sz w:val="16"/>
          <w:szCs w:val="16"/>
        </w:rPr>
        <w:t xml:space="preserve">2 </w:t>
      </w:r>
      <w:r>
        <w:t xml:space="preserve">information was collected at both ionization modes as </w:t>
      </w:r>
      <w:proofErr w:type="gramStart"/>
      <w:r>
        <w:t>above</w:t>
      </w:r>
      <w:proofErr w:type="gramEnd"/>
      <w:r>
        <w:t xml:space="preserve"> </w:t>
      </w:r>
    </w:p>
    <w:p w14:paraId="412DC4D6" w14:textId="77777777" w:rsidR="00B87AB0" w:rsidRDefault="00B87AB0" w:rsidP="00B87AB0">
      <w:pPr>
        <w:pStyle w:val="NormalWeb"/>
      </w:pPr>
      <w:r>
        <w:t xml:space="preserve">23 </w:t>
      </w:r>
    </w:p>
    <w:p w14:paraId="13E50F06" w14:textId="77777777" w:rsidR="00B87AB0" w:rsidRDefault="00B87AB0" w:rsidP="00B87AB0">
      <w:pPr>
        <w:pStyle w:val="NormalWeb"/>
      </w:pPr>
      <w:r>
        <w:t xml:space="preserve">with the exception that individual spectra were not averaged but collected at the three different HDC energies independently (Dataset EV2). All spectra were manually inspected and compared to known and well characterized spectral databases (METLIN, MONA and </w:t>
      </w:r>
      <w:proofErr w:type="spellStart"/>
      <w:r>
        <w:t>mzCloud</w:t>
      </w:r>
      <w:proofErr w:type="spellEnd"/>
      <w:r>
        <w:rPr>
          <w:position w:val="12"/>
          <w:sz w:val="16"/>
          <w:szCs w:val="16"/>
        </w:rPr>
        <w:t>TM</w:t>
      </w:r>
      <w:r>
        <w:t xml:space="preserve">). Most of </w:t>
      </w:r>
      <w:r>
        <w:lastRenderedPageBreak/>
        <w:t>the spectra included in our library were thus verified. Where no match was found but the spectrum was of high quality, we included it in the library and added a note in our metadata file (Dataset EV3 (</w:t>
      </w:r>
      <w:proofErr w:type="spellStart"/>
      <w:r>
        <w:t>HILIC_all</w:t>
      </w:r>
      <w:proofErr w:type="spellEnd"/>
      <w:r>
        <w:t>) and EV4 (MSMLS_HILIC). Few metabolites were also run from individual wells, to try and obtain better signal-to-noise ratios. Overall, our database included: HILIC-all MS</w:t>
      </w:r>
      <w:r>
        <w:rPr>
          <w:position w:val="12"/>
          <w:sz w:val="16"/>
          <w:szCs w:val="16"/>
        </w:rPr>
        <w:t xml:space="preserve">1 </w:t>
      </w:r>
      <w:r>
        <w:t>– 261 compounds, MS</w:t>
      </w:r>
      <w:r>
        <w:rPr>
          <w:position w:val="12"/>
          <w:sz w:val="16"/>
          <w:szCs w:val="16"/>
        </w:rPr>
        <w:t xml:space="preserve">2 </w:t>
      </w:r>
      <w:r>
        <w:t>– 144 compounds; MSMLS_HILIC MS</w:t>
      </w:r>
      <w:r>
        <w:rPr>
          <w:position w:val="12"/>
          <w:sz w:val="16"/>
          <w:szCs w:val="16"/>
        </w:rPr>
        <w:t xml:space="preserve">1 </w:t>
      </w:r>
      <w:r>
        <w:t>– 236 compounds; MS</w:t>
      </w:r>
      <w:r>
        <w:rPr>
          <w:position w:val="12"/>
          <w:sz w:val="16"/>
          <w:szCs w:val="16"/>
        </w:rPr>
        <w:t xml:space="preserve">2 </w:t>
      </w:r>
      <w:r>
        <w:t>– 307 compounds. The overlap between the two MS</w:t>
      </w:r>
      <w:r>
        <w:rPr>
          <w:position w:val="12"/>
          <w:sz w:val="16"/>
          <w:szCs w:val="16"/>
        </w:rPr>
        <w:t xml:space="preserve">1 </w:t>
      </w:r>
      <w:r>
        <w:t xml:space="preserve">databases was about 100 compounds. </w:t>
      </w:r>
    </w:p>
    <w:p w14:paraId="557E2561" w14:textId="77777777" w:rsidR="00B87AB0" w:rsidRDefault="00B87AB0" w:rsidP="00B87AB0">
      <w:pPr>
        <w:pStyle w:val="NormalWeb"/>
      </w:pPr>
      <w:r>
        <w:rPr>
          <w:rFonts w:ascii="Times New Roman,BoldItalic" w:hAnsi="Times New Roman,BoldItalic"/>
        </w:rPr>
        <w:t xml:space="preserve">Targeted metabolomics data analysis </w:t>
      </w:r>
    </w:p>
    <w:p w14:paraId="636CF006" w14:textId="77777777" w:rsidR="00B87AB0" w:rsidRDefault="00B87AB0" w:rsidP="00B87AB0">
      <w:pPr>
        <w:pStyle w:val="NormalWeb"/>
      </w:pPr>
      <w:r>
        <w:t xml:space="preserve">Relative quantification of polar metabolites was performed with </w:t>
      </w:r>
      <w:proofErr w:type="spellStart"/>
      <w:r>
        <w:t>TraceFinder</w:t>
      </w:r>
      <w:proofErr w:type="spellEnd"/>
      <w:r>
        <w:t xml:space="preserve"> 5.1 (</w:t>
      </w:r>
      <w:proofErr w:type="spellStart"/>
      <w:r>
        <w:t>Thermo</w:t>
      </w:r>
      <w:proofErr w:type="spellEnd"/>
      <w:r>
        <w:t xml:space="preserve"> Fisher Scientific, Waltham, MA, USA) using a </w:t>
      </w:r>
      <w:proofErr w:type="gramStart"/>
      <w:r>
        <w:t>5 ppm</w:t>
      </w:r>
      <w:proofErr w:type="gramEnd"/>
      <w:r>
        <w:t xml:space="preserve"> mass tolerance and referencing an in-house library of chemical standards (</w:t>
      </w:r>
      <w:proofErr w:type="spellStart"/>
      <w:r>
        <w:t>HILIC_all</w:t>
      </w:r>
      <w:proofErr w:type="spellEnd"/>
      <w:r>
        <w:t xml:space="preserve"> and MSMLS_HLIC). We routinely queried about 257 compounds (37 internal standards and 220 metabolites). Pooled samples and fractional dilutions were prepared as quality controls and injected at the beginning and end of each run. In addition, pooled samples were interspersed throughout the run to control for technical drift in signal quality as well as to serve to assess the coefficient of variability (CV) for each metabolite. Data from </w:t>
      </w:r>
      <w:proofErr w:type="spellStart"/>
      <w:r>
        <w:t>TraceFinder</w:t>
      </w:r>
      <w:proofErr w:type="spellEnd"/>
      <w:r>
        <w:t xml:space="preserve"> were further consolidated and normalized with an in-house R script: (https://github.com/FrozenGas/KanarekLabTraceFinderRScripts/blob/main/MS_data_script_v2.4 _20221018.R). Briefly, this script performs normalization and quality control steps: 1) extracts and combines the peak areas from </w:t>
      </w:r>
      <w:proofErr w:type="spellStart"/>
      <w:r>
        <w:t>TraceFinder</w:t>
      </w:r>
      <w:proofErr w:type="spellEnd"/>
      <w:r>
        <w:t xml:space="preserve"> output .</w:t>
      </w:r>
      <w:proofErr w:type="spellStart"/>
      <w:r>
        <w:t>csvs</w:t>
      </w:r>
      <w:proofErr w:type="spellEnd"/>
      <w:r>
        <w:t xml:space="preserve">; 2) calculates and normalizes to an averaged factor from all mean-centered chromatographic peak areas of isotopically labeled amino acid and </w:t>
      </w:r>
      <w:proofErr w:type="spellStart"/>
      <w:r>
        <w:t>QReSS</w:t>
      </w:r>
      <w:proofErr w:type="spellEnd"/>
      <w:r>
        <w:t xml:space="preserve"> internal standards within each sample; 3) filters out low-quality metabolites based on user entered cut-offs calculated from pool reinjections and pool dilutions; 4) calculates and normalizes for biological material amounts based on the total integrated peak area values of high-confidence metabolites. In this study, the linear correlation between the dilution factor and the peak area cut-offs are set to RSQ&gt;0.95 and the coefficient of variation (CV) &lt; 30%. Finally, data were log transformed and Pareto scaled within the </w:t>
      </w:r>
      <w:proofErr w:type="spellStart"/>
      <w:r>
        <w:t>MetaboAnalyst</w:t>
      </w:r>
      <w:proofErr w:type="spellEnd"/>
      <w:r>
        <w:t xml:space="preserve">- based statistical analysis platform (Xia </w:t>
      </w:r>
      <w:r>
        <w:rPr>
          <w:rFonts w:ascii="Times New Roman,Italic" w:hAnsi="Times New Roman,Italic"/>
        </w:rPr>
        <w:t>et al</w:t>
      </w:r>
      <w:r>
        <w:t xml:space="preserve">, 2015) to generate PCA, PLSDA, volcano plots, and </w:t>
      </w:r>
    </w:p>
    <w:p w14:paraId="654104B2" w14:textId="77777777" w:rsidR="00B87AB0" w:rsidRDefault="00B87AB0" w:rsidP="00B87AB0">
      <w:pPr>
        <w:pStyle w:val="NormalWeb"/>
      </w:pPr>
      <w:r>
        <w:t xml:space="preserve">24 </w:t>
      </w:r>
    </w:p>
    <w:p w14:paraId="0A5E1DCC" w14:textId="77777777" w:rsidR="00B87AB0" w:rsidRDefault="00B87AB0" w:rsidP="00B87AB0">
      <w:pPr>
        <w:pStyle w:val="NormalWeb"/>
      </w:pPr>
      <w:r>
        <w:t xml:space="preserve">heatmaps. Individual metabolite bar plots and statistics were calculated in Excel and GraphPad Prism. Finally, for statistical analysis within </w:t>
      </w:r>
      <w:proofErr w:type="spellStart"/>
      <w:r>
        <w:t>MetaboAnalyst</w:t>
      </w:r>
      <w:proofErr w:type="spellEnd"/>
      <w:r>
        <w:t xml:space="preserve"> missing values were filled using </w:t>
      </w:r>
      <w:proofErr w:type="spellStart"/>
      <w:r>
        <w:t>LoDs</w:t>
      </w:r>
      <w:proofErr w:type="spellEnd"/>
      <w:r>
        <w:t xml:space="preserve"> (1/5 of the minimum positive value of each variable) while when plotting individual metabolites (using GraphPad Prism) missing values were omitted from analysis. </w:t>
      </w:r>
    </w:p>
    <w:p w14:paraId="57A9DB9F" w14:textId="77777777" w:rsidR="00B87AB0" w:rsidRDefault="00B87AB0" w:rsidP="00B87AB0">
      <w:pPr>
        <w:pStyle w:val="NormalWeb"/>
      </w:pPr>
      <w:r>
        <w:rPr>
          <w:rFonts w:ascii="Times New Roman,BoldItalic" w:hAnsi="Times New Roman,BoldItalic"/>
        </w:rPr>
        <w:t xml:space="preserve">Untargeted metabolomics data analysis using </w:t>
      </w:r>
      <w:proofErr w:type="spellStart"/>
      <w:r>
        <w:rPr>
          <w:rFonts w:ascii="Times New Roman,BoldItalic" w:hAnsi="Times New Roman,BoldItalic"/>
        </w:rPr>
        <w:t>CompoundDiscoverer</w:t>
      </w:r>
      <w:proofErr w:type="spellEnd"/>
      <w:r>
        <w:rPr>
          <w:rFonts w:ascii="Times New Roman,BoldItalic" w:hAnsi="Times New Roman,BoldItalic"/>
        </w:rPr>
        <w:t xml:space="preserve"> (mock-filtering mode) </w:t>
      </w:r>
    </w:p>
    <w:p w14:paraId="2A5B4BAA" w14:textId="77777777" w:rsidR="00B87AB0" w:rsidRDefault="00B87AB0" w:rsidP="00B87AB0">
      <w:pPr>
        <w:pStyle w:val="NormalWeb"/>
      </w:pPr>
      <w:r>
        <w:t>Relative quantification for untargeted polar metabolomics was performed with Compound discoverer 3.3. A general workflow was built to best suit our polar metabolomics LC-MS method (details on each parameter are given in Dataset EV5). Positive and negative modes were analyzed separately. Both MS</w:t>
      </w:r>
      <w:r>
        <w:rPr>
          <w:position w:val="12"/>
          <w:sz w:val="16"/>
          <w:szCs w:val="16"/>
        </w:rPr>
        <w:t xml:space="preserve">1 </w:t>
      </w:r>
      <w:r>
        <w:t>and MS</w:t>
      </w:r>
      <w:r>
        <w:rPr>
          <w:position w:val="12"/>
          <w:sz w:val="16"/>
          <w:szCs w:val="16"/>
        </w:rPr>
        <w:t>2</w:t>
      </w:r>
      <w:r>
        <w:t>-level in-house databases were used (</w:t>
      </w:r>
      <w:proofErr w:type="spellStart"/>
      <w:r>
        <w:t>HILIC_all</w:t>
      </w:r>
      <w:proofErr w:type="spellEnd"/>
      <w:r>
        <w:t xml:space="preserve"> and MSMLS_HLIC). For the analysis of MIA samples, additionally MS</w:t>
      </w:r>
      <w:r>
        <w:rPr>
          <w:position w:val="12"/>
          <w:sz w:val="16"/>
          <w:szCs w:val="16"/>
        </w:rPr>
        <w:t xml:space="preserve">1 </w:t>
      </w:r>
      <w:r>
        <w:t>and MS</w:t>
      </w:r>
      <w:r>
        <w:rPr>
          <w:position w:val="12"/>
          <w:sz w:val="16"/>
          <w:szCs w:val="16"/>
        </w:rPr>
        <w:t>2</w:t>
      </w:r>
      <w:r>
        <w:t xml:space="preserve">-level CD-1-DBs were used (in positive and negative modes, see above). Filtering steps were performed based on peak noise levels, ppm error, formula annotation, and the relative abundance of the integrated </w:t>
      </w:r>
      <w:r>
        <w:lastRenderedPageBreak/>
        <w:t xml:space="preserve">peak area in true sample compered to mock samples, where features with +&gt;3-fold higher in samples were retained. Normalization steps were performed based on a “scaling factor”: a per sample normalizer. This scaling factor was determined per experiment or sample comparison: each sample was analyzed by targeted metabolomics first, and the scaling factor corresponded to the biological material normalizer from total integrated peak area of mean-centered values from high-confidence metabolites (see above). This normalizer rarely differed more than 2-fold within a sample type. When experiments from different experimental days were compared (such as CD- 1 to C57BL/6 comparison, as in Figure 2), untargeted analysis was performed on the combined samples and data were independently curated. This ensured adequate chromatographic retention time correction and alignment and thus proper feature alignment, identification, and annotation. Within our HILIC chromatography, we rarely observe chromatographic shift larger that 1 minute and retention times drifts larger than 40 seconds. We further observed that larger threshold for retention time shift led to mis-annotation for our in-house library compound databases (for example betaine vs valine or alanine vs beta-alanine). Therefore, these parameters were set as limits for retention time correction and matching to internal databases. Post </w:t>
      </w:r>
      <w:proofErr w:type="spellStart"/>
      <w:r>
        <w:t>CompoundDiscoverer</w:t>
      </w:r>
      <w:proofErr w:type="spellEnd"/>
      <w:r>
        <w:t xml:space="preserve"> analysis included merging of negative and positive mode data and statistical analysis using the </w:t>
      </w:r>
      <w:proofErr w:type="spellStart"/>
      <w:r>
        <w:t>MetaboAnalyst</w:t>
      </w:r>
      <w:proofErr w:type="spellEnd"/>
      <w:r>
        <w:t xml:space="preserve"> platform. As compound annotation at levels higher than Level 1 include a significant level of uncertainty, we decided not to merge features based on </w:t>
      </w:r>
    </w:p>
    <w:p w14:paraId="0B7277A0" w14:textId="77777777" w:rsidR="00B87AB0" w:rsidRDefault="00B87AB0" w:rsidP="00B87AB0">
      <w:pPr>
        <w:pStyle w:val="NormalWeb"/>
      </w:pPr>
      <w:r>
        <w:t xml:space="preserve">25 </w:t>
      </w:r>
    </w:p>
    <w:p w14:paraId="4163F7D0" w14:textId="77777777" w:rsidR="00B87AB0" w:rsidRDefault="00B87AB0" w:rsidP="00B87AB0">
      <w:pPr>
        <w:pStyle w:val="NormalWeb"/>
      </w:pPr>
      <w:r>
        <w:t>annotation name but rather to retain information from both positive and negative mode analyzed data (thus multiple compounds are annotation as either “</w:t>
      </w:r>
      <w:proofErr w:type="spellStart"/>
      <w:r>
        <w:t>Metabolite_name</w:t>
      </w:r>
      <w:proofErr w:type="spellEnd"/>
      <w:r>
        <w:t>_[M-H]” or “</w:t>
      </w:r>
      <w:proofErr w:type="spellStart"/>
      <w:r>
        <w:t>Metabolite_name</w:t>
      </w:r>
      <w:proofErr w:type="spellEnd"/>
      <w:r>
        <w:t xml:space="preserve">” for negative or positive mode respectively, for example Fig 2D). Finally, data were log transformed and Pareto scaled within the </w:t>
      </w:r>
      <w:proofErr w:type="spellStart"/>
      <w:r>
        <w:t>MetaboAnalyst</w:t>
      </w:r>
      <w:proofErr w:type="spellEnd"/>
      <w:r>
        <w:t xml:space="preserve">-based statistical analysis platform (Xia </w:t>
      </w:r>
      <w:r>
        <w:rPr>
          <w:rFonts w:ascii="Times New Roman,Italic" w:hAnsi="Times New Roman,Italic"/>
        </w:rPr>
        <w:t>et al</w:t>
      </w:r>
      <w:r>
        <w:t xml:space="preserve">, 2015) to generate PCA, PLSDA, volcano plots, and heatmaps. Individual metabolite bar plots and statistics were calculated in Excel and GraphPad Prism. Pathway enrichment was similarly performed within </w:t>
      </w:r>
      <w:proofErr w:type="spellStart"/>
      <w:r>
        <w:t>MetaboAnalyst</w:t>
      </w:r>
      <w:proofErr w:type="spellEnd"/>
      <w:r>
        <w:t xml:space="preserve"> following the above data transformation steps. </w:t>
      </w:r>
    </w:p>
    <w:p w14:paraId="3326B35D" w14:textId="77777777" w:rsidR="00B87AB0" w:rsidRDefault="00B87AB0" w:rsidP="00B87AB0">
      <w:pPr>
        <w:pStyle w:val="NormalWeb"/>
      </w:pPr>
      <w:r>
        <w:rPr>
          <w:rFonts w:ascii="Times New Roman,BoldItalic" w:hAnsi="Times New Roman,BoldItalic"/>
        </w:rPr>
        <w:t xml:space="preserve">Untargeted metabolomics data analysis using </w:t>
      </w:r>
      <w:proofErr w:type="spellStart"/>
      <w:r>
        <w:rPr>
          <w:rFonts w:ascii="Times New Roman,BoldItalic" w:hAnsi="Times New Roman,BoldItalic"/>
        </w:rPr>
        <w:t>ClusterFinder</w:t>
      </w:r>
      <w:proofErr w:type="spellEnd"/>
      <w:r>
        <w:rPr>
          <w:rFonts w:ascii="Times New Roman,BoldItalic" w:hAnsi="Times New Roman,BoldItalic"/>
        </w:rPr>
        <w:t xml:space="preserve"> and IROA credentialing (IROA mode)</w:t>
      </w:r>
      <w:r>
        <w:rPr>
          <w:rFonts w:ascii="Times New Roman,BoldItalic" w:hAnsi="Times New Roman,BoldItalic"/>
        </w:rPr>
        <w:br/>
      </w:r>
      <w:r>
        <w:t xml:space="preserve">All steps for sample preparation for IROA-assisted metabolomics were as described above except for the final resuspension step, which was performed using the IROA provided Internal Standard (IS) (95% </w:t>
      </w:r>
      <w:r>
        <w:rPr>
          <w:position w:val="12"/>
          <w:sz w:val="16"/>
          <w:szCs w:val="16"/>
        </w:rPr>
        <w:t>13</w:t>
      </w:r>
      <w:r>
        <w:t xml:space="preserve">C-labeled, IROA® </w:t>
      </w:r>
      <w:proofErr w:type="spellStart"/>
      <w:r>
        <w:t>TruQuant</w:t>
      </w:r>
      <w:proofErr w:type="spellEnd"/>
      <w:r>
        <w:t xml:space="preserve"> Yeast Extract Semi-targeted QC Workflow, IROA </w:t>
      </w:r>
      <w:proofErr w:type="spellStart"/>
      <w:r>
        <w:t>TechnologiesTM</w:t>
      </w:r>
      <w:proofErr w:type="spellEnd"/>
      <w:r>
        <w:t xml:space="preserve">). Relative quantification based on IROA for untargeted polar metabolomics was performed with </w:t>
      </w:r>
      <w:proofErr w:type="spellStart"/>
      <w:r>
        <w:t>ClusterFinder</w:t>
      </w:r>
      <w:proofErr w:type="spellEnd"/>
      <w:r>
        <w:t xml:space="preserve"> 4.2.23. We initially determined that 7ul of CSF reconstituted in 20μl IS led to optimal signal intensity correspondence between labeled and unlabeled </w:t>
      </w:r>
      <w:proofErr w:type="spellStart"/>
      <w:r>
        <w:t>isotopologues</w:t>
      </w:r>
      <w:proofErr w:type="spellEnd"/>
      <w:r>
        <w:t xml:space="preserve"> (see Figure S1, step 1). Default parameters were set for each search (targeted or untargeted) except for the minimal signal intensity </w:t>
      </w:r>
      <w:proofErr w:type="gramStart"/>
      <w:r>
        <w:t>threshold</w:t>
      </w:r>
      <w:proofErr w:type="gramEnd"/>
      <w:r>
        <w:t xml:space="preserve"> which was set lower, at 10.000. Additionally, we integrated our targeted metabolomics MS</w:t>
      </w:r>
      <w:r>
        <w:rPr>
          <w:position w:val="12"/>
          <w:sz w:val="16"/>
          <w:szCs w:val="16"/>
        </w:rPr>
        <w:t>1</w:t>
      </w:r>
      <w:r>
        <w:t xml:space="preserve">-level databases into </w:t>
      </w:r>
      <w:proofErr w:type="spellStart"/>
      <w:r>
        <w:t>ClusterFinder</w:t>
      </w:r>
      <w:proofErr w:type="spellEnd"/>
      <w:r>
        <w:t xml:space="preserve"> and thus performed a secondary level of annotation within the software. Retention time correction and peak integration was performed within the software and was not further curated. </w:t>
      </w:r>
    </w:p>
    <w:p w14:paraId="6EBBD797" w14:textId="77777777" w:rsidR="00B87AB0" w:rsidRDefault="00B87AB0" w:rsidP="00B87AB0">
      <w:pPr>
        <w:pStyle w:val="NormalWeb"/>
      </w:pPr>
      <w:r>
        <w:rPr>
          <w:rFonts w:ascii="Times New Roman,BoldItalic" w:hAnsi="Times New Roman,BoldItalic"/>
        </w:rPr>
        <w:t>Generation of untargeted metabolomics CD-1 library (CD-1-DB MS</w:t>
      </w:r>
      <w:r>
        <w:rPr>
          <w:rFonts w:ascii="Times New Roman,BoldItalic" w:hAnsi="Times New Roman,BoldItalic"/>
          <w:position w:val="12"/>
          <w:sz w:val="16"/>
          <w:szCs w:val="16"/>
        </w:rPr>
        <w:t xml:space="preserve">1 </w:t>
      </w:r>
      <w:r>
        <w:rPr>
          <w:rFonts w:ascii="Times New Roman,BoldItalic" w:hAnsi="Times New Roman,BoldItalic"/>
        </w:rPr>
        <w:t xml:space="preserve">and MS2-level database) </w:t>
      </w:r>
    </w:p>
    <w:p w14:paraId="374AAFC5" w14:textId="77777777" w:rsidR="00B87AB0" w:rsidRDefault="00B87AB0" w:rsidP="00B87AB0">
      <w:pPr>
        <w:pStyle w:val="NormalWeb"/>
      </w:pPr>
      <w:r>
        <w:lastRenderedPageBreak/>
        <w:t xml:space="preserve">Embryonic CSF from E14.5 embryos was collected as described above. 7 mice were used and CSF from all embryos was pooled per mouse. For each replicate, 7μl were used for IROA- assisted analysis and 7μl for mock-filtering analysis. As IROA analysis did not yield satisfactory annotation we only generated </w:t>
      </w:r>
      <w:proofErr w:type="spellStart"/>
      <w:r>
        <w:t>eCSF</w:t>
      </w:r>
      <w:proofErr w:type="spellEnd"/>
      <w:r>
        <w:t xml:space="preserve">-specific metabolite databases from mock-filtering strategy. Within </w:t>
      </w:r>
      <w:proofErr w:type="spellStart"/>
      <w:r>
        <w:t>CompoundDiscoverer</w:t>
      </w:r>
      <w:proofErr w:type="spellEnd"/>
      <w:r>
        <w:t xml:space="preserve">, we followed the steps outlined above. We extensively curated each feature. Features were given identifying tags that would help organize certainty of </w:t>
      </w:r>
    </w:p>
    <w:p w14:paraId="4745F268" w14:textId="77777777" w:rsidR="00B87AB0" w:rsidRDefault="00B87AB0" w:rsidP="00B87AB0">
      <w:pPr>
        <w:pStyle w:val="NormalWeb"/>
      </w:pPr>
      <w:r>
        <w:t xml:space="preserve">26 </w:t>
      </w:r>
    </w:p>
    <w:p w14:paraId="61715174" w14:textId="77777777" w:rsidR="00B87AB0" w:rsidRDefault="00B87AB0" w:rsidP="00B87AB0">
      <w:pPr>
        <w:pStyle w:val="NormalWeb"/>
      </w:pPr>
      <w:r>
        <w:t>identification and annotation (Level 1-4). All features with matches to our in-house database were confirmed after manual inspection and any double annotations removed (as well as renamed and specifically tagged) if retention times were not ideal match. Both MS</w:t>
      </w:r>
      <w:r>
        <w:rPr>
          <w:position w:val="12"/>
          <w:sz w:val="16"/>
          <w:szCs w:val="16"/>
        </w:rPr>
        <w:t xml:space="preserve">1 </w:t>
      </w:r>
      <w:r>
        <w:t>and MS</w:t>
      </w:r>
      <w:r>
        <w:rPr>
          <w:position w:val="12"/>
          <w:sz w:val="16"/>
          <w:szCs w:val="16"/>
        </w:rPr>
        <w:t xml:space="preserve">2 </w:t>
      </w:r>
      <w:r>
        <w:t xml:space="preserve">level databases were generated within </w:t>
      </w:r>
      <w:proofErr w:type="spellStart"/>
      <w:r>
        <w:t>CompoundDiscoverer</w:t>
      </w:r>
      <w:proofErr w:type="spellEnd"/>
      <w:r>
        <w:t xml:space="preserve"> on curated data. After export of MS</w:t>
      </w:r>
      <w:r>
        <w:rPr>
          <w:position w:val="12"/>
          <w:sz w:val="16"/>
          <w:szCs w:val="16"/>
        </w:rPr>
        <w:t xml:space="preserve">2 </w:t>
      </w:r>
      <w:r>
        <w:t xml:space="preserve">library to </w:t>
      </w:r>
      <w:proofErr w:type="spellStart"/>
      <w:r>
        <w:t>mzVault</w:t>
      </w:r>
      <w:proofErr w:type="spellEnd"/>
      <w:r>
        <w:t xml:space="preserve">, the CD-1-eCSF database was further manually curated, where low quality spectra were removed. Of note – most features are represented by a single collected spectrum. </w:t>
      </w:r>
    </w:p>
    <w:p w14:paraId="245247B4" w14:textId="77777777" w:rsidR="00B87AB0" w:rsidRDefault="00B87AB0" w:rsidP="00B87AB0">
      <w:pPr>
        <w:pStyle w:val="NormalWeb"/>
      </w:pPr>
    </w:p>
    <w:p w14:paraId="19E79D05" w14:textId="5086EDC6" w:rsidR="00B87AB0" w:rsidRDefault="00B87AB0" w:rsidP="00B87AB0">
      <w:pPr>
        <w:pStyle w:val="NormalWeb"/>
      </w:pPr>
      <w:r>
        <w:t xml:space="preserve">UNTARGETED CERTAINTY TAGS: </w:t>
      </w:r>
    </w:p>
    <w:p w14:paraId="036B0859" w14:textId="77777777" w:rsidR="00B87AB0" w:rsidRDefault="00B87AB0" w:rsidP="00B87AB0">
      <w:pPr>
        <w:rPr>
          <w:rFonts w:ascii="Times New Roman" w:hAnsi="Times New Roman" w:cs="Times New Roman"/>
        </w:rPr>
      </w:pPr>
    </w:p>
    <w:p w14:paraId="3C2BFACD" w14:textId="77777777" w:rsidR="00B87AB0" w:rsidRDefault="00B87AB0" w:rsidP="00B87AB0">
      <w:pPr>
        <w:rPr>
          <w:rFonts w:ascii="Times New Roman" w:hAnsi="Times New Roman" w:cs="Times New Roman"/>
        </w:rPr>
      </w:pPr>
      <w:r>
        <w:rPr>
          <w:rFonts w:ascii="Times New Roman" w:hAnsi="Times New Roman" w:cs="Times New Roman"/>
        </w:rPr>
        <w:t>CD-1-DB dataset 03.25</w:t>
      </w:r>
    </w:p>
    <w:tbl>
      <w:tblPr>
        <w:tblStyle w:val="TableGrid"/>
        <w:tblW w:w="9351" w:type="dxa"/>
        <w:tblLook w:val="04A0" w:firstRow="1" w:lastRow="0" w:firstColumn="1" w:lastColumn="0" w:noHBand="0" w:noVBand="1"/>
      </w:tblPr>
      <w:tblGrid>
        <w:gridCol w:w="562"/>
        <w:gridCol w:w="5245"/>
        <w:gridCol w:w="3544"/>
      </w:tblGrid>
      <w:tr w:rsidR="00B87AB0" w:rsidRPr="005B2D4B" w14:paraId="1346D5D9" w14:textId="77777777" w:rsidTr="008F71B4">
        <w:tc>
          <w:tcPr>
            <w:tcW w:w="562" w:type="dxa"/>
          </w:tcPr>
          <w:p w14:paraId="7E415459" w14:textId="77777777" w:rsidR="00B87AB0" w:rsidRPr="005B2D4B" w:rsidRDefault="00B87AB0" w:rsidP="008F71B4">
            <w:pPr>
              <w:rPr>
                <w:rFonts w:ascii="Times New Roman" w:hAnsi="Times New Roman" w:cs="Times New Roman"/>
              </w:rPr>
            </w:pPr>
            <w:r w:rsidRPr="005B2D4B">
              <w:rPr>
                <w:rFonts w:ascii="Times New Roman" w:hAnsi="Times New Roman" w:cs="Times New Roman"/>
              </w:rPr>
              <w:t>A</w:t>
            </w:r>
          </w:p>
        </w:tc>
        <w:tc>
          <w:tcPr>
            <w:tcW w:w="5245" w:type="dxa"/>
          </w:tcPr>
          <w:p w14:paraId="2B4DDE48" w14:textId="77777777" w:rsidR="00B87AB0" w:rsidRPr="005B2D4B" w:rsidRDefault="00B87AB0" w:rsidP="008F71B4">
            <w:pPr>
              <w:rPr>
                <w:rFonts w:ascii="Times New Roman" w:hAnsi="Times New Roman" w:cs="Times New Roman"/>
              </w:rPr>
            </w:pPr>
            <w:proofErr w:type="spellStart"/>
            <w:r w:rsidRPr="005B2D4B">
              <w:rPr>
                <w:rFonts w:ascii="Times New Roman" w:hAnsi="Times New Roman" w:cs="Times New Roman"/>
              </w:rPr>
              <w:t>MSlist</w:t>
            </w:r>
            <w:proofErr w:type="spellEnd"/>
            <w:r w:rsidRPr="005B2D4B">
              <w:rPr>
                <w:rFonts w:ascii="Times New Roman" w:hAnsi="Times New Roman" w:cs="Times New Roman"/>
              </w:rPr>
              <w:t xml:space="preserve"> match in both </w:t>
            </w:r>
            <w:proofErr w:type="spellStart"/>
            <w:r w:rsidRPr="005B2D4B">
              <w:rPr>
                <w:rFonts w:ascii="Times New Roman" w:hAnsi="Times New Roman" w:cs="Times New Roman"/>
                <w:bCs/>
              </w:rPr>
              <w:t>HILIC_all</w:t>
            </w:r>
            <w:proofErr w:type="spellEnd"/>
            <w:r w:rsidRPr="005B2D4B">
              <w:rPr>
                <w:rFonts w:ascii="Times New Roman" w:hAnsi="Times New Roman" w:cs="Times New Roman"/>
                <w:bCs/>
              </w:rPr>
              <w:t xml:space="preserve"> and MSMLS_HILIC</w:t>
            </w:r>
            <w:r w:rsidRPr="005B2D4B">
              <w:rPr>
                <w:rFonts w:ascii="Times New Roman" w:hAnsi="Times New Roman" w:cs="Times New Roman"/>
              </w:rPr>
              <w:t xml:space="preserve"> MS</w:t>
            </w:r>
            <w:r w:rsidRPr="005B2D4B">
              <w:rPr>
                <w:rFonts w:ascii="Times New Roman" w:hAnsi="Times New Roman" w:cs="Times New Roman"/>
                <w:vertAlign w:val="superscript"/>
              </w:rPr>
              <w:t xml:space="preserve">1 </w:t>
            </w:r>
            <w:r w:rsidRPr="005B2D4B">
              <w:rPr>
                <w:rFonts w:ascii="Times New Roman" w:hAnsi="Times New Roman" w:cs="Times New Roman"/>
                <w:bCs/>
              </w:rPr>
              <w:t>databases</w:t>
            </w:r>
          </w:p>
        </w:tc>
        <w:tc>
          <w:tcPr>
            <w:tcW w:w="3544" w:type="dxa"/>
          </w:tcPr>
          <w:p w14:paraId="6555450C" w14:textId="77777777" w:rsidR="00B87AB0" w:rsidRPr="005B2D4B" w:rsidRDefault="00B87AB0" w:rsidP="008F71B4">
            <w:pPr>
              <w:rPr>
                <w:rFonts w:ascii="Times New Roman" w:hAnsi="Times New Roman" w:cs="Times New Roman"/>
              </w:rPr>
            </w:pPr>
            <w:r w:rsidRPr="005B2D4B">
              <w:rPr>
                <w:rFonts w:ascii="Times New Roman" w:hAnsi="Times New Roman" w:cs="Times New Roman"/>
              </w:rPr>
              <w:t>Corresponds to Level 1 identification certainty</w:t>
            </w:r>
          </w:p>
        </w:tc>
      </w:tr>
      <w:tr w:rsidR="00B87AB0" w:rsidRPr="005B2D4B" w14:paraId="2F9D7A41" w14:textId="77777777" w:rsidTr="008F71B4">
        <w:tc>
          <w:tcPr>
            <w:tcW w:w="562" w:type="dxa"/>
          </w:tcPr>
          <w:p w14:paraId="1F869C4F" w14:textId="77777777" w:rsidR="00B87AB0" w:rsidRPr="005B2D4B" w:rsidRDefault="00B87AB0" w:rsidP="008F71B4">
            <w:pPr>
              <w:rPr>
                <w:rFonts w:ascii="Times New Roman" w:hAnsi="Times New Roman" w:cs="Times New Roman"/>
              </w:rPr>
            </w:pPr>
            <w:r w:rsidRPr="005B2D4B">
              <w:rPr>
                <w:rFonts w:ascii="Times New Roman" w:hAnsi="Times New Roman" w:cs="Times New Roman"/>
              </w:rPr>
              <w:t>B</w:t>
            </w:r>
          </w:p>
        </w:tc>
        <w:tc>
          <w:tcPr>
            <w:tcW w:w="5245" w:type="dxa"/>
          </w:tcPr>
          <w:p w14:paraId="0A273834" w14:textId="77777777" w:rsidR="00B87AB0" w:rsidRPr="005B2D4B" w:rsidRDefault="00B87AB0" w:rsidP="008F71B4">
            <w:pPr>
              <w:rPr>
                <w:rFonts w:ascii="Times New Roman" w:hAnsi="Times New Roman" w:cs="Times New Roman"/>
              </w:rPr>
            </w:pPr>
            <w:proofErr w:type="spellStart"/>
            <w:r w:rsidRPr="005B2D4B">
              <w:rPr>
                <w:rFonts w:ascii="Times New Roman" w:hAnsi="Times New Roman" w:cs="Times New Roman"/>
              </w:rPr>
              <w:t>mzVaul</w:t>
            </w:r>
            <w:r>
              <w:rPr>
                <w:rFonts w:ascii="Times New Roman" w:hAnsi="Times New Roman" w:cs="Times New Roman"/>
              </w:rPr>
              <w:t>t</w:t>
            </w:r>
            <w:proofErr w:type="spellEnd"/>
            <w:r w:rsidRPr="005B2D4B">
              <w:rPr>
                <w:rFonts w:ascii="Times New Roman" w:hAnsi="Times New Roman" w:cs="Times New Roman"/>
              </w:rPr>
              <w:t xml:space="preserve"> match (multiple and single) in both </w:t>
            </w:r>
            <w:proofErr w:type="spellStart"/>
            <w:r w:rsidRPr="005B2D4B">
              <w:rPr>
                <w:rFonts w:ascii="Times New Roman" w:hAnsi="Times New Roman" w:cs="Times New Roman"/>
                <w:bCs/>
              </w:rPr>
              <w:t>HILIC_all</w:t>
            </w:r>
            <w:proofErr w:type="spellEnd"/>
            <w:r w:rsidRPr="005B2D4B">
              <w:rPr>
                <w:rFonts w:ascii="Times New Roman" w:hAnsi="Times New Roman" w:cs="Times New Roman"/>
                <w:bCs/>
              </w:rPr>
              <w:t xml:space="preserve"> and MSMLS_HILIC</w:t>
            </w:r>
            <w:r w:rsidRPr="005B2D4B">
              <w:rPr>
                <w:rFonts w:ascii="Times New Roman" w:hAnsi="Times New Roman" w:cs="Times New Roman"/>
              </w:rPr>
              <w:t xml:space="preserve"> MS</w:t>
            </w:r>
            <w:r>
              <w:rPr>
                <w:rFonts w:ascii="Times New Roman" w:hAnsi="Times New Roman" w:cs="Times New Roman"/>
                <w:vertAlign w:val="superscript"/>
              </w:rPr>
              <w:t>2</w:t>
            </w:r>
            <w:r w:rsidRPr="005B2D4B">
              <w:rPr>
                <w:rFonts w:ascii="Times New Roman" w:hAnsi="Times New Roman" w:cs="Times New Roman"/>
                <w:vertAlign w:val="superscript"/>
              </w:rPr>
              <w:t xml:space="preserve"> </w:t>
            </w:r>
            <w:r w:rsidRPr="005B2D4B">
              <w:rPr>
                <w:rFonts w:ascii="Times New Roman" w:hAnsi="Times New Roman" w:cs="Times New Roman"/>
                <w:bCs/>
              </w:rPr>
              <w:t>databases</w:t>
            </w:r>
          </w:p>
        </w:tc>
        <w:tc>
          <w:tcPr>
            <w:tcW w:w="3544" w:type="dxa"/>
          </w:tcPr>
          <w:p w14:paraId="1DA3CA88" w14:textId="77777777" w:rsidR="00B87AB0" w:rsidRPr="005B2D4B" w:rsidRDefault="00B87AB0" w:rsidP="008F71B4">
            <w:pPr>
              <w:rPr>
                <w:rFonts w:ascii="Times New Roman" w:hAnsi="Times New Roman" w:cs="Times New Roman"/>
              </w:rPr>
            </w:pPr>
            <w:r w:rsidRPr="005B2D4B">
              <w:rPr>
                <w:rFonts w:ascii="Times New Roman" w:hAnsi="Times New Roman" w:cs="Times New Roman"/>
              </w:rPr>
              <w:t>Corresponds to Level 1 identification certainty</w:t>
            </w:r>
          </w:p>
        </w:tc>
      </w:tr>
      <w:tr w:rsidR="00B87AB0" w:rsidRPr="005B2D4B" w14:paraId="023D26E4" w14:textId="77777777" w:rsidTr="008F71B4">
        <w:tc>
          <w:tcPr>
            <w:tcW w:w="562" w:type="dxa"/>
          </w:tcPr>
          <w:p w14:paraId="4767E7F4" w14:textId="77777777" w:rsidR="00B87AB0" w:rsidRPr="005B2D4B" w:rsidRDefault="00B87AB0" w:rsidP="008F71B4">
            <w:pPr>
              <w:rPr>
                <w:rFonts w:ascii="Times New Roman" w:hAnsi="Times New Roman" w:cs="Times New Roman"/>
              </w:rPr>
            </w:pPr>
            <w:r w:rsidRPr="005B2D4B">
              <w:rPr>
                <w:rFonts w:ascii="Times New Roman" w:hAnsi="Times New Roman" w:cs="Times New Roman"/>
              </w:rPr>
              <w:t>C</w:t>
            </w:r>
          </w:p>
        </w:tc>
        <w:tc>
          <w:tcPr>
            <w:tcW w:w="5245" w:type="dxa"/>
          </w:tcPr>
          <w:p w14:paraId="783A5B65" w14:textId="77777777" w:rsidR="00B87AB0" w:rsidRPr="005B2D4B" w:rsidRDefault="00B87AB0" w:rsidP="008F71B4">
            <w:pPr>
              <w:rPr>
                <w:rFonts w:ascii="Times New Roman" w:hAnsi="Times New Roman" w:cs="Times New Roman"/>
              </w:rPr>
            </w:pPr>
            <w:r>
              <w:rPr>
                <w:rFonts w:ascii="Times New Roman" w:hAnsi="Times New Roman" w:cs="Times New Roman"/>
              </w:rPr>
              <w:t>NA</w:t>
            </w:r>
          </w:p>
        </w:tc>
        <w:tc>
          <w:tcPr>
            <w:tcW w:w="3544" w:type="dxa"/>
          </w:tcPr>
          <w:p w14:paraId="71D13723" w14:textId="77777777" w:rsidR="00B87AB0" w:rsidRPr="005B2D4B" w:rsidRDefault="00B87AB0" w:rsidP="008F71B4">
            <w:pPr>
              <w:rPr>
                <w:rFonts w:ascii="Times New Roman" w:hAnsi="Times New Roman" w:cs="Times New Roman"/>
              </w:rPr>
            </w:pPr>
            <w:r>
              <w:rPr>
                <w:rFonts w:ascii="Times New Roman" w:hAnsi="Times New Roman" w:cs="Times New Roman"/>
              </w:rPr>
              <w:t>NA</w:t>
            </w:r>
          </w:p>
        </w:tc>
      </w:tr>
      <w:tr w:rsidR="00B87AB0" w:rsidRPr="005B2D4B" w14:paraId="44AA1D33" w14:textId="77777777" w:rsidTr="008F71B4">
        <w:tc>
          <w:tcPr>
            <w:tcW w:w="562" w:type="dxa"/>
          </w:tcPr>
          <w:p w14:paraId="7F099EF7" w14:textId="77777777" w:rsidR="00B87AB0" w:rsidRPr="005B2D4B" w:rsidRDefault="00B87AB0" w:rsidP="008F71B4">
            <w:pPr>
              <w:rPr>
                <w:rFonts w:ascii="Times New Roman" w:hAnsi="Times New Roman" w:cs="Times New Roman"/>
              </w:rPr>
            </w:pPr>
            <w:r w:rsidRPr="005B2D4B">
              <w:rPr>
                <w:rFonts w:ascii="Times New Roman" w:hAnsi="Times New Roman" w:cs="Times New Roman"/>
              </w:rPr>
              <w:t>D</w:t>
            </w:r>
          </w:p>
        </w:tc>
        <w:tc>
          <w:tcPr>
            <w:tcW w:w="5245" w:type="dxa"/>
          </w:tcPr>
          <w:p w14:paraId="2F245508" w14:textId="77777777" w:rsidR="00B87AB0" w:rsidRPr="005B2D4B" w:rsidRDefault="00B87AB0" w:rsidP="008F71B4">
            <w:pPr>
              <w:rPr>
                <w:rFonts w:ascii="Times New Roman" w:hAnsi="Times New Roman" w:cs="Times New Roman"/>
              </w:rPr>
            </w:pPr>
            <w:proofErr w:type="spellStart"/>
            <w:r w:rsidRPr="005B2D4B">
              <w:rPr>
                <w:rFonts w:ascii="Times New Roman" w:hAnsi="Times New Roman" w:cs="Times New Roman"/>
              </w:rPr>
              <w:t>mzVaul</w:t>
            </w:r>
            <w:r>
              <w:rPr>
                <w:rFonts w:ascii="Times New Roman" w:hAnsi="Times New Roman" w:cs="Times New Roman"/>
              </w:rPr>
              <w:t>t</w:t>
            </w:r>
            <w:proofErr w:type="spellEnd"/>
            <w:r w:rsidRPr="005B2D4B">
              <w:rPr>
                <w:rFonts w:ascii="Times New Roman" w:hAnsi="Times New Roman" w:cs="Times New Roman"/>
              </w:rPr>
              <w:t xml:space="preserve"> match (multiple and single) in </w:t>
            </w:r>
            <w:r w:rsidRPr="005B2D4B">
              <w:rPr>
                <w:rFonts w:ascii="Times New Roman" w:hAnsi="Times New Roman" w:cs="Times New Roman"/>
                <w:bCs/>
              </w:rPr>
              <w:t>MSMLS_HILIC</w:t>
            </w:r>
            <w:r w:rsidRPr="005B2D4B">
              <w:rPr>
                <w:rFonts w:ascii="Times New Roman" w:hAnsi="Times New Roman" w:cs="Times New Roman"/>
              </w:rPr>
              <w:t xml:space="preserve"> MS</w:t>
            </w:r>
            <w:r>
              <w:rPr>
                <w:rFonts w:ascii="Times New Roman" w:hAnsi="Times New Roman" w:cs="Times New Roman"/>
                <w:vertAlign w:val="superscript"/>
              </w:rPr>
              <w:t>2</w:t>
            </w:r>
            <w:r w:rsidRPr="005B2D4B">
              <w:rPr>
                <w:rFonts w:ascii="Times New Roman" w:hAnsi="Times New Roman" w:cs="Times New Roman"/>
                <w:vertAlign w:val="superscript"/>
              </w:rPr>
              <w:t xml:space="preserve"> </w:t>
            </w:r>
            <w:r w:rsidRPr="005B2D4B">
              <w:rPr>
                <w:rFonts w:ascii="Times New Roman" w:hAnsi="Times New Roman" w:cs="Times New Roman"/>
                <w:bCs/>
              </w:rPr>
              <w:t>database</w:t>
            </w:r>
          </w:p>
        </w:tc>
        <w:tc>
          <w:tcPr>
            <w:tcW w:w="3544" w:type="dxa"/>
          </w:tcPr>
          <w:p w14:paraId="1FDEE2A8" w14:textId="77777777" w:rsidR="00B87AB0" w:rsidRPr="005B2D4B" w:rsidRDefault="00B87AB0" w:rsidP="008F71B4">
            <w:pPr>
              <w:rPr>
                <w:rFonts w:ascii="Times New Roman" w:hAnsi="Times New Roman" w:cs="Times New Roman"/>
              </w:rPr>
            </w:pPr>
            <w:r w:rsidRPr="005B2D4B">
              <w:rPr>
                <w:rFonts w:ascii="Times New Roman" w:hAnsi="Times New Roman" w:cs="Times New Roman"/>
              </w:rPr>
              <w:t>Corresponds to Level 1 identification certainty</w:t>
            </w:r>
          </w:p>
        </w:tc>
      </w:tr>
      <w:tr w:rsidR="00B87AB0" w:rsidRPr="005B2D4B" w14:paraId="5109A4AD" w14:textId="77777777" w:rsidTr="008F71B4">
        <w:tc>
          <w:tcPr>
            <w:tcW w:w="562" w:type="dxa"/>
          </w:tcPr>
          <w:p w14:paraId="4D2F0305" w14:textId="77777777" w:rsidR="00B87AB0" w:rsidRPr="005B2D4B" w:rsidRDefault="00B87AB0" w:rsidP="008F71B4">
            <w:pPr>
              <w:rPr>
                <w:rFonts w:ascii="Times New Roman" w:hAnsi="Times New Roman" w:cs="Times New Roman"/>
              </w:rPr>
            </w:pPr>
            <w:r w:rsidRPr="005B2D4B">
              <w:rPr>
                <w:rFonts w:ascii="Times New Roman" w:hAnsi="Times New Roman" w:cs="Times New Roman"/>
              </w:rPr>
              <w:t>E</w:t>
            </w:r>
          </w:p>
        </w:tc>
        <w:tc>
          <w:tcPr>
            <w:tcW w:w="5245" w:type="dxa"/>
          </w:tcPr>
          <w:p w14:paraId="1F93BA53" w14:textId="77777777" w:rsidR="00B87AB0" w:rsidRPr="005B2D4B" w:rsidRDefault="00B87AB0" w:rsidP="008F71B4">
            <w:pPr>
              <w:rPr>
                <w:rFonts w:ascii="Times New Roman" w:hAnsi="Times New Roman" w:cs="Times New Roman"/>
              </w:rPr>
            </w:pPr>
            <w:proofErr w:type="spellStart"/>
            <w:r w:rsidRPr="005B2D4B">
              <w:rPr>
                <w:rFonts w:ascii="Times New Roman" w:hAnsi="Times New Roman" w:cs="Times New Roman"/>
              </w:rPr>
              <w:t>mzCloud</w:t>
            </w:r>
            <w:proofErr w:type="spellEnd"/>
            <w:r w:rsidRPr="005B2D4B">
              <w:rPr>
                <w:rFonts w:ascii="Times New Roman" w:hAnsi="Times New Roman" w:cs="Times New Roman"/>
              </w:rPr>
              <w:t xml:space="preserve"> match (greater than or equal to 65 confidence)</w:t>
            </w:r>
          </w:p>
        </w:tc>
        <w:tc>
          <w:tcPr>
            <w:tcW w:w="3544" w:type="dxa"/>
          </w:tcPr>
          <w:p w14:paraId="015FBE06" w14:textId="77777777" w:rsidR="00B87AB0" w:rsidRPr="005B2D4B" w:rsidRDefault="00B87AB0" w:rsidP="008F71B4">
            <w:pPr>
              <w:rPr>
                <w:rFonts w:ascii="Times New Roman" w:hAnsi="Times New Roman" w:cs="Times New Roman"/>
              </w:rPr>
            </w:pPr>
            <w:r w:rsidRPr="005B2D4B">
              <w:rPr>
                <w:rFonts w:ascii="Times New Roman" w:hAnsi="Times New Roman" w:cs="Times New Roman"/>
              </w:rPr>
              <w:t>Corresponds to Level 2 identification certainty</w:t>
            </w:r>
          </w:p>
        </w:tc>
      </w:tr>
      <w:tr w:rsidR="00B87AB0" w:rsidRPr="005B2D4B" w14:paraId="559CC5B8" w14:textId="77777777" w:rsidTr="008F71B4">
        <w:tc>
          <w:tcPr>
            <w:tcW w:w="562" w:type="dxa"/>
          </w:tcPr>
          <w:p w14:paraId="79FF5909" w14:textId="77777777" w:rsidR="00B87AB0" w:rsidRPr="005B2D4B" w:rsidRDefault="00B87AB0" w:rsidP="008F71B4">
            <w:pPr>
              <w:rPr>
                <w:rFonts w:ascii="Times New Roman" w:hAnsi="Times New Roman" w:cs="Times New Roman"/>
              </w:rPr>
            </w:pPr>
            <w:r w:rsidRPr="005B2D4B">
              <w:rPr>
                <w:rFonts w:ascii="Times New Roman" w:hAnsi="Times New Roman" w:cs="Times New Roman"/>
              </w:rPr>
              <w:t>F</w:t>
            </w:r>
          </w:p>
        </w:tc>
        <w:tc>
          <w:tcPr>
            <w:tcW w:w="5245" w:type="dxa"/>
          </w:tcPr>
          <w:p w14:paraId="5407B1EB" w14:textId="77777777" w:rsidR="00B87AB0" w:rsidRPr="005B2D4B" w:rsidRDefault="00B87AB0" w:rsidP="008F71B4">
            <w:pPr>
              <w:rPr>
                <w:rFonts w:ascii="Times New Roman" w:hAnsi="Times New Roman" w:cs="Times New Roman"/>
              </w:rPr>
            </w:pPr>
            <w:r>
              <w:rPr>
                <w:rFonts w:ascii="Times New Roman" w:hAnsi="Times New Roman" w:cs="Times New Roman"/>
              </w:rPr>
              <w:t>Peak quality filter</w:t>
            </w:r>
          </w:p>
        </w:tc>
        <w:tc>
          <w:tcPr>
            <w:tcW w:w="3544" w:type="dxa"/>
          </w:tcPr>
          <w:p w14:paraId="464163C1" w14:textId="77777777" w:rsidR="00B87AB0" w:rsidRPr="005B2D4B" w:rsidRDefault="00B87AB0" w:rsidP="008F71B4">
            <w:pPr>
              <w:rPr>
                <w:rFonts w:ascii="Times New Roman" w:hAnsi="Times New Roman" w:cs="Times New Roman"/>
              </w:rPr>
            </w:pPr>
            <w:r>
              <w:rPr>
                <w:rFonts w:ascii="Times New Roman" w:hAnsi="Times New Roman" w:cs="Times New Roman"/>
              </w:rPr>
              <w:t>Bad peaks removed manually</w:t>
            </w:r>
          </w:p>
        </w:tc>
      </w:tr>
    </w:tbl>
    <w:p w14:paraId="7A59FF2E" w14:textId="77777777" w:rsidR="00B87AB0" w:rsidRDefault="00B87AB0" w:rsidP="00B87AB0">
      <w:pPr>
        <w:rPr>
          <w:rFonts w:ascii="Times New Roman" w:hAnsi="Times New Roman" w:cs="Times New Roman"/>
        </w:rPr>
      </w:pPr>
    </w:p>
    <w:p w14:paraId="699F71A8" w14:textId="77777777" w:rsidR="00B87AB0" w:rsidRPr="00654039" w:rsidRDefault="00B87AB0" w:rsidP="00B87AB0">
      <w:pPr>
        <w:rPr>
          <w:rFonts w:ascii="Times New Roman" w:hAnsi="Times New Roman" w:cs="Times New Roman"/>
        </w:rPr>
      </w:pPr>
      <w:r>
        <w:rPr>
          <w:rFonts w:ascii="Times New Roman" w:hAnsi="Times New Roman" w:cs="Times New Roman"/>
          <w:i/>
          <w:iCs/>
        </w:rPr>
        <w:t xml:space="preserve">All other untargeted datasets: </w:t>
      </w:r>
    </w:p>
    <w:tbl>
      <w:tblPr>
        <w:tblStyle w:val="TableGrid"/>
        <w:tblW w:w="9351" w:type="dxa"/>
        <w:tblLook w:val="04A0" w:firstRow="1" w:lastRow="0" w:firstColumn="1" w:lastColumn="0" w:noHBand="0" w:noVBand="1"/>
      </w:tblPr>
      <w:tblGrid>
        <w:gridCol w:w="562"/>
        <w:gridCol w:w="5245"/>
        <w:gridCol w:w="3544"/>
      </w:tblGrid>
      <w:tr w:rsidR="00B87AB0" w:rsidRPr="005B2D4B" w14:paraId="43802E8D" w14:textId="77777777" w:rsidTr="008F71B4">
        <w:tc>
          <w:tcPr>
            <w:tcW w:w="562" w:type="dxa"/>
          </w:tcPr>
          <w:p w14:paraId="24D8343E" w14:textId="77777777" w:rsidR="00B87AB0" w:rsidRPr="005B2D4B" w:rsidRDefault="00B87AB0" w:rsidP="008F71B4">
            <w:pPr>
              <w:rPr>
                <w:rFonts w:ascii="Times New Roman" w:hAnsi="Times New Roman" w:cs="Times New Roman"/>
              </w:rPr>
            </w:pPr>
            <w:r w:rsidRPr="005B2D4B">
              <w:rPr>
                <w:rFonts w:ascii="Times New Roman" w:hAnsi="Times New Roman" w:cs="Times New Roman"/>
              </w:rPr>
              <w:t>A</w:t>
            </w:r>
          </w:p>
        </w:tc>
        <w:tc>
          <w:tcPr>
            <w:tcW w:w="5245" w:type="dxa"/>
          </w:tcPr>
          <w:p w14:paraId="1558EBD1" w14:textId="77777777" w:rsidR="00B87AB0" w:rsidRPr="005B2D4B" w:rsidRDefault="00B87AB0" w:rsidP="008F71B4">
            <w:pPr>
              <w:rPr>
                <w:rFonts w:ascii="Times New Roman" w:hAnsi="Times New Roman" w:cs="Times New Roman"/>
              </w:rPr>
            </w:pPr>
            <w:proofErr w:type="spellStart"/>
            <w:r w:rsidRPr="005B2D4B">
              <w:rPr>
                <w:rFonts w:ascii="Times New Roman" w:hAnsi="Times New Roman" w:cs="Times New Roman"/>
              </w:rPr>
              <w:t>MSlist</w:t>
            </w:r>
            <w:proofErr w:type="spellEnd"/>
            <w:r w:rsidRPr="005B2D4B">
              <w:rPr>
                <w:rFonts w:ascii="Times New Roman" w:hAnsi="Times New Roman" w:cs="Times New Roman"/>
              </w:rPr>
              <w:t xml:space="preserve"> match in both </w:t>
            </w:r>
            <w:proofErr w:type="spellStart"/>
            <w:r w:rsidRPr="005B2D4B">
              <w:rPr>
                <w:rFonts w:ascii="Times New Roman" w:hAnsi="Times New Roman" w:cs="Times New Roman"/>
                <w:bCs/>
              </w:rPr>
              <w:t>HILIC_all</w:t>
            </w:r>
            <w:proofErr w:type="spellEnd"/>
            <w:r w:rsidRPr="005B2D4B">
              <w:rPr>
                <w:rFonts w:ascii="Times New Roman" w:hAnsi="Times New Roman" w:cs="Times New Roman"/>
                <w:bCs/>
              </w:rPr>
              <w:t xml:space="preserve"> and MSMLS_HILIC</w:t>
            </w:r>
            <w:r w:rsidRPr="005B2D4B">
              <w:rPr>
                <w:rFonts w:ascii="Times New Roman" w:hAnsi="Times New Roman" w:cs="Times New Roman"/>
              </w:rPr>
              <w:t xml:space="preserve"> MS</w:t>
            </w:r>
            <w:r w:rsidRPr="005B2D4B">
              <w:rPr>
                <w:rFonts w:ascii="Times New Roman" w:hAnsi="Times New Roman" w:cs="Times New Roman"/>
                <w:vertAlign w:val="superscript"/>
              </w:rPr>
              <w:t xml:space="preserve">1 </w:t>
            </w:r>
            <w:r w:rsidRPr="005B2D4B">
              <w:rPr>
                <w:rFonts w:ascii="Times New Roman" w:hAnsi="Times New Roman" w:cs="Times New Roman"/>
                <w:bCs/>
              </w:rPr>
              <w:t>databases</w:t>
            </w:r>
          </w:p>
        </w:tc>
        <w:tc>
          <w:tcPr>
            <w:tcW w:w="3544" w:type="dxa"/>
          </w:tcPr>
          <w:p w14:paraId="0F5B7ABC" w14:textId="77777777" w:rsidR="00B87AB0" w:rsidRPr="005B2D4B" w:rsidRDefault="00B87AB0" w:rsidP="008F71B4">
            <w:pPr>
              <w:rPr>
                <w:rFonts w:ascii="Times New Roman" w:hAnsi="Times New Roman" w:cs="Times New Roman"/>
              </w:rPr>
            </w:pPr>
            <w:r w:rsidRPr="005B2D4B">
              <w:rPr>
                <w:rFonts w:ascii="Times New Roman" w:hAnsi="Times New Roman" w:cs="Times New Roman"/>
              </w:rPr>
              <w:t>Corresponds to Level 1 identification certainty</w:t>
            </w:r>
          </w:p>
        </w:tc>
      </w:tr>
      <w:tr w:rsidR="00B87AB0" w:rsidRPr="005B2D4B" w14:paraId="5EBF6E8E" w14:textId="77777777" w:rsidTr="008F71B4">
        <w:tc>
          <w:tcPr>
            <w:tcW w:w="562" w:type="dxa"/>
          </w:tcPr>
          <w:p w14:paraId="2786B02A" w14:textId="77777777" w:rsidR="00B87AB0" w:rsidRPr="005B2D4B" w:rsidRDefault="00B87AB0" w:rsidP="008F71B4">
            <w:pPr>
              <w:rPr>
                <w:rFonts w:ascii="Times New Roman" w:hAnsi="Times New Roman" w:cs="Times New Roman"/>
              </w:rPr>
            </w:pPr>
            <w:r w:rsidRPr="005B2D4B">
              <w:rPr>
                <w:rFonts w:ascii="Times New Roman" w:hAnsi="Times New Roman" w:cs="Times New Roman"/>
              </w:rPr>
              <w:t>B</w:t>
            </w:r>
          </w:p>
        </w:tc>
        <w:tc>
          <w:tcPr>
            <w:tcW w:w="5245" w:type="dxa"/>
          </w:tcPr>
          <w:p w14:paraId="75210609" w14:textId="77777777" w:rsidR="00B87AB0" w:rsidRPr="005B2D4B" w:rsidRDefault="00B87AB0" w:rsidP="008F71B4">
            <w:pPr>
              <w:rPr>
                <w:rFonts w:ascii="Times New Roman" w:hAnsi="Times New Roman" w:cs="Times New Roman"/>
              </w:rPr>
            </w:pPr>
            <w:proofErr w:type="spellStart"/>
            <w:r w:rsidRPr="005B2D4B">
              <w:rPr>
                <w:rFonts w:ascii="Times New Roman" w:hAnsi="Times New Roman" w:cs="Times New Roman"/>
              </w:rPr>
              <w:t>mzVau</w:t>
            </w:r>
            <w:r>
              <w:rPr>
                <w:rFonts w:ascii="Times New Roman" w:hAnsi="Times New Roman" w:cs="Times New Roman"/>
              </w:rPr>
              <w:t>l</w:t>
            </w:r>
            <w:r w:rsidRPr="005B2D4B">
              <w:rPr>
                <w:rFonts w:ascii="Times New Roman" w:hAnsi="Times New Roman" w:cs="Times New Roman"/>
              </w:rPr>
              <w:t>t</w:t>
            </w:r>
            <w:proofErr w:type="spellEnd"/>
            <w:r w:rsidRPr="005B2D4B">
              <w:rPr>
                <w:rFonts w:ascii="Times New Roman" w:hAnsi="Times New Roman" w:cs="Times New Roman"/>
              </w:rPr>
              <w:t xml:space="preserve"> match (multiple and single) in both </w:t>
            </w:r>
            <w:proofErr w:type="spellStart"/>
            <w:r w:rsidRPr="005B2D4B">
              <w:rPr>
                <w:rFonts w:ascii="Times New Roman" w:hAnsi="Times New Roman" w:cs="Times New Roman"/>
                <w:bCs/>
              </w:rPr>
              <w:t>HILIC_all</w:t>
            </w:r>
            <w:proofErr w:type="spellEnd"/>
            <w:r w:rsidRPr="005B2D4B">
              <w:rPr>
                <w:rFonts w:ascii="Times New Roman" w:hAnsi="Times New Roman" w:cs="Times New Roman"/>
                <w:bCs/>
              </w:rPr>
              <w:t xml:space="preserve"> and MSMLS_HILIC </w:t>
            </w:r>
            <w:r w:rsidRPr="005B2D4B">
              <w:rPr>
                <w:rFonts w:ascii="Times New Roman" w:hAnsi="Times New Roman" w:cs="Times New Roman"/>
              </w:rPr>
              <w:t>MS</w:t>
            </w:r>
            <w:r w:rsidRPr="005B2D4B">
              <w:rPr>
                <w:rFonts w:ascii="Times New Roman" w:hAnsi="Times New Roman" w:cs="Times New Roman"/>
                <w:vertAlign w:val="superscript"/>
              </w:rPr>
              <w:t xml:space="preserve">2 </w:t>
            </w:r>
            <w:r w:rsidRPr="005B2D4B">
              <w:rPr>
                <w:rFonts w:ascii="Times New Roman" w:hAnsi="Times New Roman" w:cs="Times New Roman"/>
                <w:bCs/>
              </w:rPr>
              <w:t>databases</w:t>
            </w:r>
          </w:p>
        </w:tc>
        <w:tc>
          <w:tcPr>
            <w:tcW w:w="3544" w:type="dxa"/>
          </w:tcPr>
          <w:p w14:paraId="0EF16BC0" w14:textId="77777777" w:rsidR="00B87AB0" w:rsidRPr="005B2D4B" w:rsidRDefault="00B87AB0" w:rsidP="008F71B4">
            <w:pPr>
              <w:rPr>
                <w:rFonts w:ascii="Times New Roman" w:hAnsi="Times New Roman" w:cs="Times New Roman"/>
              </w:rPr>
            </w:pPr>
            <w:r w:rsidRPr="005B2D4B">
              <w:rPr>
                <w:rFonts w:ascii="Times New Roman" w:hAnsi="Times New Roman" w:cs="Times New Roman"/>
              </w:rPr>
              <w:t>Corresponds to Level 1 identification certainty</w:t>
            </w:r>
          </w:p>
        </w:tc>
      </w:tr>
      <w:tr w:rsidR="00B87AB0" w:rsidRPr="005B2D4B" w14:paraId="42883FE2" w14:textId="77777777" w:rsidTr="008F71B4">
        <w:tc>
          <w:tcPr>
            <w:tcW w:w="562" w:type="dxa"/>
          </w:tcPr>
          <w:p w14:paraId="71011433" w14:textId="77777777" w:rsidR="00B87AB0" w:rsidRPr="005B2D4B" w:rsidRDefault="00B87AB0" w:rsidP="008F71B4">
            <w:pPr>
              <w:rPr>
                <w:rFonts w:ascii="Times New Roman" w:hAnsi="Times New Roman" w:cs="Times New Roman"/>
              </w:rPr>
            </w:pPr>
            <w:r w:rsidRPr="005B2D4B">
              <w:rPr>
                <w:rFonts w:ascii="Times New Roman" w:hAnsi="Times New Roman" w:cs="Times New Roman"/>
              </w:rPr>
              <w:t>C</w:t>
            </w:r>
          </w:p>
        </w:tc>
        <w:tc>
          <w:tcPr>
            <w:tcW w:w="5245" w:type="dxa"/>
          </w:tcPr>
          <w:p w14:paraId="5170E7D4" w14:textId="77777777" w:rsidR="00B87AB0" w:rsidRPr="005B2D4B" w:rsidRDefault="00B87AB0" w:rsidP="008F71B4">
            <w:pPr>
              <w:rPr>
                <w:rFonts w:ascii="Times New Roman" w:hAnsi="Times New Roman" w:cs="Times New Roman"/>
              </w:rPr>
            </w:pPr>
            <w:proofErr w:type="spellStart"/>
            <w:r w:rsidRPr="005B2D4B">
              <w:rPr>
                <w:rFonts w:ascii="Times New Roman" w:hAnsi="Times New Roman" w:cs="Times New Roman"/>
              </w:rPr>
              <w:t>mzVaul</w:t>
            </w:r>
            <w:r>
              <w:rPr>
                <w:rFonts w:ascii="Times New Roman" w:hAnsi="Times New Roman" w:cs="Times New Roman"/>
              </w:rPr>
              <w:t>t</w:t>
            </w:r>
            <w:proofErr w:type="spellEnd"/>
            <w:r w:rsidRPr="005B2D4B">
              <w:rPr>
                <w:rFonts w:ascii="Times New Roman" w:hAnsi="Times New Roman" w:cs="Times New Roman"/>
              </w:rPr>
              <w:t xml:space="preserve"> match (multiple and single) in CD-1-DB MS</w:t>
            </w:r>
            <w:r w:rsidRPr="005B2D4B">
              <w:rPr>
                <w:rFonts w:ascii="Times New Roman" w:hAnsi="Times New Roman" w:cs="Times New Roman"/>
                <w:vertAlign w:val="superscript"/>
              </w:rPr>
              <w:t>2</w:t>
            </w:r>
          </w:p>
        </w:tc>
        <w:tc>
          <w:tcPr>
            <w:tcW w:w="3544" w:type="dxa"/>
          </w:tcPr>
          <w:p w14:paraId="737AA13B" w14:textId="77777777" w:rsidR="00B87AB0" w:rsidRPr="005B2D4B" w:rsidRDefault="00B87AB0" w:rsidP="008F71B4">
            <w:pPr>
              <w:rPr>
                <w:rFonts w:ascii="Times New Roman" w:hAnsi="Times New Roman" w:cs="Times New Roman"/>
              </w:rPr>
            </w:pPr>
            <w:r w:rsidRPr="005B2D4B">
              <w:rPr>
                <w:rFonts w:ascii="Times New Roman" w:hAnsi="Times New Roman" w:cs="Times New Roman"/>
              </w:rPr>
              <w:t>Corresponds to Level 2 identification certainty (with MS spectrum)</w:t>
            </w:r>
          </w:p>
        </w:tc>
      </w:tr>
      <w:tr w:rsidR="00B87AB0" w:rsidRPr="005B2D4B" w14:paraId="541EA19A" w14:textId="77777777" w:rsidTr="008F71B4">
        <w:tc>
          <w:tcPr>
            <w:tcW w:w="562" w:type="dxa"/>
          </w:tcPr>
          <w:p w14:paraId="000786DD" w14:textId="77777777" w:rsidR="00B87AB0" w:rsidRPr="005B2D4B" w:rsidRDefault="00B87AB0" w:rsidP="008F71B4">
            <w:pPr>
              <w:rPr>
                <w:rFonts w:ascii="Times New Roman" w:hAnsi="Times New Roman" w:cs="Times New Roman"/>
              </w:rPr>
            </w:pPr>
            <w:r w:rsidRPr="005B2D4B">
              <w:rPr>
                <w:rFonts w:ascii="Times New Roman" w:hAnsi="Times New Roman" w:cs="Times New Roman"/>
              </w:rPr>
              <w:t>D</w:t>
            </w:r>
          </w:p>
        </w:tc>
        <w:tc>
          <w:tcPr>
            <w:tcW w:w="5245" w:type="dxa"/>
          </w:tcPr>
          <w:p w14:paraId="3BCD83E2" w14:textId="77777777" w:rsidR="00B87AB0" w:rsidRPr="005B2D4B" w:rsidRDefault="00B87AB0" w:rsidP="008F71B4">
            <w:pPr>
              <w:rPr>
                <w:rFonts w:ascii="Times New Roman" w:hAnsi="Times New Roman" w:cs="Times New Roman"/>
              </w:rPr>
            </w:pPr>
            <w:proofErr w:type="spellStart"/>
            <w:r w:rsidRPr="005B2D4B">
              <w:rPr>
                <w:rFonts w:ascii="Times New Roman" w:hAnsi="Times New Roman" w:cs="Times New Roman"/>
              </w:rPr>
              <w:t>mzCloud</w:t>
            </w:r>
            <w:proofErr w:type="spellEnd"/>
            <w:r w:rsidRPr="005B2D4B">
              <w:rPr>
                <w:rFonts w:ascii="Times New Roman" w:hAnsi="Times New Roman" w:cs="Times New Roman"/>
              </w:rPr>
              <w:t xml:space="preserve"> match (greater than or equal to 65 confidence)</w:t>
            </w:r>
          </w:p>
        </w:tc>
        <w:tc>
          <w:tcPr>
            <w:tcW w:w="3544" w:type="dxa"/>
          </w:tcPr>
          <w:p w14:paraId="56494666" w14:textId="77777777" w:rsidR="00B87AB0" w:rsidRPr="005B2D4B" w:rsidRDefault="00B87AB0" w:rsidP="008F71B4">
            <w:pPr>
              <w:rPr>
                <w:rFonts w:ascii="Times New Roman" w:hAnsi="Times New Roman" w:cs="Times New Roman"/>
              </w:rPr>
            </w:pPr>
            <w:r w:rsidRPr="005B2D4B">
              <w:rPr>
                <w:rFonts w:ascii="Times New Roman" w:hAnsi="Times New Roman" w:cs="Times New Roman"/>
              </w:rPr>
              <w:t>Corresponds to Level 2 identification certainty</w:t>
            </w:r>
          </w:p>
        </w:tc>
      </w:tr>
      <w:tr w:rsidR="00B87AB0" w:rsidRPr="005B2D4B" w14:paraId="66D057F0" w14:textId="77777777" w:rsidTr="008F71B4">
        <w:tc>
          <w:tcPr>
            <w:tcW w:w="562" w:type="dxa"/>
          </w:tcPr>
          <w:p w14:paraId="362A7606" w14:textId="77777777" w:rsidR="00B87AB0" w:rsidRPr="005B2D4B" w:rsidRDefault="00B87AB0" w:rsidP="008F71B4">
            <w:pPr>
              <w:rPr>
                <w:rFonts w:ascii="Times New Roman" w:hAnsi="Times New Roman" w:cs="Times New Roman"/>
              </w:rPr>
            </w:pPr>
            <w:r w:rsidRPr="005B2D4B">
              <w:rPr>
                <w:rFonts w:ascii="Times New Roman" w:hAnsi="Times New Roman" w:cs="Times New Roman"/>
              </w:rPr>
              <w:t>E</w:t>
            </w:r>
          </w:p>
        </w:tc>
        <w:tc>
          <w:tcPr>
            <w:tcW w:w="5245" w:type="dxa"/>
          </w:tcPr>
          <w:p w14:paraId="15FE9F4C" w14:textId="77777777" w:rsidR="00B87AB0" w:rsidRPr="005B2D4B" w:rsidRDefault="00B87AB0" w:rsidP="008F71B4">
            <w:pPr>
              <w:rPr>
                <w:rFonts w:ascii="Times New Roman" w:hAnsi="Times New Roman" w:cs="Times New Roman"/>
              </w:rPr>
            </w:pPr>
            <w:r w:rsidRPr="005B2D4B">
              <w:rPr>
                <w:rFonts w:ascii="Times New Roman" w:hAnsi="Times New Roman" w:cs="Times New Roman"/>
              </w:rPr>
              <w:t>up or down regulated</w:t>
            </w:r>
          </w:p>
        </w:tc>
        <w:tc>
          <w:tcPr>
            <w:tcW w:w="3544" w:type="dxa"/>
          </w:tcPr>
          <w:p w14:paraId="6431D54A" w14:textId="77777777" w:rsidR="00B87AB0" w:rsidRPr="005B2D4B" w:rsidRDefault="00B87AB0" w:rsidP="008F71B4">
            <w:pPr>
              <w:rPr>
                <w:rFonts w:ascii="Times New Roman" w:hAnsi="Times New Roman" w:cs="Times New Roman"/>
              </w:rPr>
            </w:pPr>
          </w:p>
        </w:tc>
      </w:tr>
      <w:tr w:rsidR="00B87AB0" w:rsidRPr="005B2D4B" w14:paraId="730E495B" w14:textId="77777777" w:rsidTr="008F71B4">
        <w:tc>
          <w:tcPr>
            <w:tcW w:w="562" w:type="dxa"/>
          </w:tcPr>
          <w:p w14:paraId="61CA8D25" w14:textId="77777777" w:rsidR="00B87AB0" w:rsidRPr="005B2D4B" w:rsidRDefault="00B87AB0" w:rsidP="008F71B4">
            <w:pPr>
              <w:rPr>
                <w:rFonts w:ascii="Times New Roman" w:hAnsi="Times New Roman" w:cs="Times New Roman"/>
              </w:rPr>
            </w:pPr>
            <w:r w:rsidRPr="005B2D4B">
              <w:rPr>
                <w:rFonts w:ascii="Times New Roman" w:hAnsi="Times New Roman" w:cs="Times New Roman"/>
              </w:rPr>
              <w:lastRenderedPageBreak/>
              <w:t>F</w:t>
            </w:r>
          </w:p>
        </w:tc>
        <w:tc>
          <w:tcPr>
            <w:tcW w:w="5245" w:type="dxa"/>
          </w:tcPr>
          <w:p w14:paraId="3295A10E" w14:textId="77777777" w:rsidR="00B87AB0" w:rsidRPr="005B2D4B" w:rsidRDefault="00B87AB0" w:rsidP="008F71B4">
            <w:pPr>
              <w:rPr>
                <w:rFonts w:ascii="Times New Roman" w:hAnsi="Times New Roman" w:cs="Times New Roman"/>
              </w:rPr>
            </w:pPr>
            <w:proofErr w:type="spellStart"/>
            <w:r w:rsidRPr="005B2D4B">
              <w:rPr>
                <w:rFonts w:ascii="Times New Roman" w:hAnsi="Times New Roman" w:cs="Times New Roman"/>
              </w:rPr>
              <w:t>MSlist</w:t>
            </w:r>
            <w:proofErr w:type="spellEnd"/>
            <w:r w:rsidRPr="005B2D4B">
              <w:rPr>
                <w:rFonts w:ascii="Times New Roman" w:hAnsi="Times New Roman" w:cs="Times New Roman"/>
              </w:rPr>
              <w:t xml:space="preserve"> match in CD-1-DB MS</w:t>
            </w:r>
            <w:r w:rsidRPr="005B2D4B">
              <w:rPr>
                <w:rFonts w:ascii="Times New Roman" w:hAnsi="Times New Roman" w:cs="Times New Roman"/>
                <w:vertAlign w:val="superscript"/>
              </w:rPr>
              <w:t>1</w:t>
            </w:r>
          </w:p>
        </w:tc>
        <w:tc>
          <w:tcPr>
            <w:tcW w:w="3544" w:type="dxa"/>
          </w:tcPr>
          <w:p w14:paraId="31505D0B" w14:textId="77777777" w:rsidR="00B87AB0" w:rsidRPr="005B2D4B" w:rsidRDefault="00B87AB0" w:rsidP="008F71B4">
            <w:pPr>
              <w:rPr>
                <w:rFonts w:ascii="Times New Roman" w:hAnsi="Times New Roman" w:cs="Times New Roman"/>
              </w:rPr>
            </w:pPr>
            <w:r w:rsidRPr="005B2D4B">
              <w:rPr>
                <w:rFonts w:ascii="Times New Roman" w:hAnsi="Times New Roman" w:cs="Times New Roman"/>
              </w:rPr>
              <w:t>Corresponds to Level 3 identification certainty (no MS spectrum)</w:t>
            </w:r>
          </w:p>
        </w:tc>
      </w:tr>
    </w:tbl>
    <w:p w14:paraId="06212A83" w14:textId="77777777" w:rsidR="00B87AB0" w:rsidRPr="005B2D4B" w:rsidRDefault="00B87AB0" w:rsidP="00B87AB0">
      <w:pPr>
        <w:rPr>
          <w:rFonts w:ascii="Times New Roman" w:hAnsi="Times New Roman" w:cs="Times New Roman"/>
        </w:rPr>
      </w:pPr>
    </w:p>
    <w:p w14:paraId="0AF93D57" w14:textId="77777777" w:rsidR="00000000" w:rsidRDefault="00000000"/>
    <w:sectPr w:rsidR="00E849E2" w:rsidSect="00284B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Bold">
    <w:altName w:val="Times New Roman"/>
    <w:panose1 w:val="020B0604020202020204"/>
    <w:charset w:val="00"/>
    <w:family w:val="roman"/>
    <w:notTrueType/>
    <w:pitch w:val="default"/>
  </w:font>
  <w:font w:name="Times New Roman,BoldItalic">
    <w:altName w:val="Times New Roman"/>
    <w:panose1 w:val="020B0604020202020204"/>
    <w:charset w:val="00"/>
    <w:family w:val="roman"/>
    <w:notTrueType/>
    <w:pitch w:val="default"/>
  </w:font>
  <w:font w:name="Times New Roman,Italic">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AB0"/>
    <w:rsid w:val="000A4D6F"/>
    <w:rsid w:val="00284B2D"/>
    <w:rsid w:val="004A40E7"/>
    <w:rsid w:val="006D4484"/>
    <w:rsid w:val="0076503E"/>
    <w:rsid w:val="00B87AB0"/>
    <w:rsid w:val="00C01870"/>
    <w:rsid w:val="00D60028"/>
    <w:rsid w:val="00FF3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AD3861"/>
  <w15:chartTrackingRefBased/>
  <w15:docId w15:val="{4B8D920D-1EA4-874F-BD9F-22B0F481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7AB0"/>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B87AB0"/>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787170">
      <w:bodyDiv w:val="1"/>
      <w:marLeft w:val="0"/>
      <w:marRight w:val="0"/>
      <w:marTop w:val="0"/>
      <w:marBottom w:val="0"/>
      <w:divBdr>
        <w:top w:val="none" w:sz="0" w:space="0" w:color="auto"/>
        <w:left w:val="none" w:sz="0" w:space="0" w:color="auto"/>
        <w:bottom w:val="none" w:sz="0" w:space="0" w:color="auto"/>
        <w:right w:val="none" w:sz="0" w:space="0" w:color="auto"/>
      </w:divBdr>
      <w:divsChild>
        <w:div w:id="1643458399">
          <w:marLeft w:val="0"/>
          <w:marRight w:val="0"/>
          <w:marTop w:val="0"/>
          <w:marBottom w:val="0"/>
          <w:divBdr>
            <w:top w:val="none" w:sz="0" w:space="0" w:color="auto"/>
            <w:left w:val="none" w:sz="0" w:space="0" w:color="auto"/>
            <w:bottom w:val="none" w:sz="0" w:space="0" w:color="auto"/>
            <w:right w:val="none" w:sz="0" w:space="0" w:color="auto"/>
          </w:divBdr>
          <w:divsChild>
            <w:div w:id="534852527">
              <w:marLeft w:val="0"/>
              <w:marRight w:val="0"/>
              <w:marTop w:val="0"/>
              <w:marBottom w:val="0"/>
              <w:divBdr>
                <w:top w:val="none" w:sz="0" w:space="0" w:color="auto"/>
                <w:left w:val="none" w:sz="0" w:space="0" w:color="auto"/>
                <w:bottom w:val="none" w:sz="0" w:space="0" w:color="auto"/>
                <w:right w:val="none" w:sz="0" w:space="0" w:color="auto"/>
              </w:divBdr>
              <w:divsChild>
                <w:div w:id="256526772">
                  <w:marLeft w:val="0"/>
                  <w:marRight w:val="0"/>
                  <w:marTop w:val="0"/>
                  <w:marBottom w:val="0"/>
                  <w:divBdr>
                    <w:top w:val="none" w:sz="0" w:space="0" w:color="auto"/>
                    <w:left w:val="none" w:sz="0" w:space="0" w:color="auto"/>
                    <w:bottom w:val="none" w:sz="0" w:space="0" w:color="auto"/>
                    <w:right w:val="none" w:sz="0" w:space="0" w:color="auto"/>
                  </w:divBdr>
                </w:div>
              </w:divsChild>
            </w:div>
            <w:div w:id="739181154">
              <w:marLeft w:val="0"/>
              <w:marRight w:val="0"/>
              <w:marTop w:val="0"/>
              <w:marBottom w:val="0"/>
              <w:divBdr>
                <w:top w:val="none" w:sz="0" w:space="0" w:color="auto"/>
                <w:left w:val="none" w:sz="0" w:space="0" w:color="auto"/>
                <w:bottom w:val="none" w:sz="0" w:space="0" w:color="auto"/>
                <w:right w:val="none" w:sz="0" w:space="0" w:color="auto"/>
              </w:divBdr>
              <w:divsChild>
                <w:div w:id="134578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7248">
          <w:marLeft w:val="0"/>
          <w:marRight w:val="0"/>
          <w:marTop w:val="0"/>
          <w:marBottom w:val="0"/>
          <w:divBdr>
            <w:top w:val="none" w:sz="0" w:space="0" w:color="auto"/>
            <w:left w:val="none" w:sz="0" w:space="0" w:color="auto"/>
            <w:bottom w:val="none" w:sz="0" w:space="0" w:color="auto"/>
            <w:right w:val="none" w:sz="0" w:space="0" w:color="auto"/>
          </w:divBdr>
          <w:divsChild>
            <w:div w:id="613368320">
              <w:marLeft w:val="0"/>
              <w:marRight w:val="0"/>
              <w:marTop w:val="0"/>
              <w:marBottom w:val="0"/>
              <w:divBdr>
                <w:top w:val="none" w:sz="0" w:space="0" w:color="auto"/>
                <w:left w:val="none" w:sz="0" w:space="0" w:color="auto"/>
                <w:bottom w:val="none" w:sz="0" w:space="0" w:color="auto"/>
                <w:right w:val="none" w:sz="0" w:space="0" w:color="auto"/>
              </w:divBdr>
              <w:divsChild>
                <w:div w:id="1513840411">
                  <w:marLeft w:val="0"/>
                  <w:marRight w:val="0"/>
                  <w:marTop w:val="0"/>
                  <w:marBottom w:val="0"/>
                  <w:divBdr>
                    <w:top w:val="none" w:sz="0" w:space="0" w:color="auto"/>
                    <w:left w:val="none" w:sz="0" w:space="0" w:color="auto"/>
                    <w:bottom w:val="none" w:sz="0" w:space="0" w:color="auto"/>
                    <w:right w:val="none" w:sz="0" w:space="0" w:color="auto"/>
                  </w:divBdr>
                </w:div>
              </w:divsChild>
            </w:div>
            <w:div w:id="2111661343">
              <w:marLeft w:val="0"/>
              <w:marRight w:val="0"/>
              <w:marTop w:val="0"/>
              <w:marBottom w:val="0"/>
              <w:divBdr>
                <w:top w:val="none" w:sz="0" w:space="0" w:color="auto"/>
                <w:left w:val="none" w:sz="0" w:space="0" w:color="auto"/>
                <w:bottom w:val="none" w:sz="0" w:space="0" w:color="auto"/>
                <w:right w:val="none" w:sz="0" w:space="0" w:color="auto"/>
              </w:divBdr>
              <w:divsChild>
                <w:div w:id="5937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45064">
          <w:marLeft w:val="0"/>
          <w:marRight w:val="0"/>
          <w:marTop w:val="0"/>
          <w:marBottom w:val="0"/>
          <w:divBdr>
            <w:top w:val="none" w:sz="0" w:space="0" w:color="auto"/>
            <w:left w:val="none" w:sz="0" w:space="0" w:color="auto"/>
            <w:bottom w:val="none" w:sz="0" w:space="0" w:color="auto"/>
            <w:right w:val="none" w:sz="0" w:space="0" w:color="auto"/>
          </w:divBdr>
          <w:divsChild>
            <w:div w:id="1634945004">
              <w:marLeft w:val="0"/>
              <w:marRight w:val="0"/>
              <w:marTop w:val="0"/>
              <w:marBottom w:val="0"/>
              <w:divBdr>
                <w:top w:val="none" w:sz="0" w:space="0" w:color="auto"/>
                <w:left w:val="none" w:sz="0" w:space="0" w:color="auto"/>
                <w:bottom w:val="none" w:sz="0" w:space="0" w:color="auto"/>
                <w:right w:val="none" w:sz="0" w:space="0" w:color="auto"/>
              </w:divBdr>
              <w:divsChild>
                <w:div w:id="1973243598">
                  <w:marLeft w:val="0"/>
                  <w:marRight w:val="0"/>
                  <w:marTop w:val="0"/>
                  <w:marBottom w:val="0"/>
                  <w:divBdr>
                    <w:top w:val="none" w:sz="0" w:space="0" w:color="auto"/>
                    <w:left w:val="none" w:sz="0" w:space="0" w:color="auto"/>
                    <w:bottom w:val="none" w:sz="0" w:space="0" w:color="auto"/>
                    <w:right w:val="none" w:sz="0" w:space="0" w:color="auto"/>
                  </w:divBdr>
                </w:div>
              </w:divsChild>
            </w:div>
            <w:div w:id="922450158">
              <w:marLeft w:val="0"/>
              <w:marRight w:val="0"/>
              <w:marTop w:val="0"/>
              <w:marBottom w:val="0"/>
              <w:divBdr>
                <w:top w:val="none" w:sz="0" w:space="0" w:color="auto"/>
                <w:left w:val="none" w:sz="0" w:space="0" w:color="auto"/>
                <w:bottom w:val="none" w:sz="0" w:space="0" w:color="auto"/>
                <w:right w:val="none" w:sz="0" w:space="0" w:color="auto"/>
              </w:divBdr>
              <w:divsChild>
                <w:div w:id="126218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09865">
          <w:marLeft w:val="0"/>
          <w:marRight w:val="0"/>
          <w:marTop w:val="0"/>
          <w:marBottom w:val="0"/>
          <w:divBdr>
            <w:top w:val="none" w:sz="0" w:space="0" w:color="auto"/>
            <w:left w:val="none" w:sz="0" w:space="0" w:color="auto"/>
            <w:bottom w:val="none" w:sz="0" w:space="0" w:color="auto"/>
            <w:right w:val="none" w:sz="0" w:space="0" w:color="auto"/>
          </w:divBdr>
          <w:divsChild>
            <w:div w:id="244846315">
              <w:marLeft w:val="0"/>
              <w:marRight w:val="0"/>
              <w:marTop w:val="0"/>
              <w:marBottom w:val="0"/>
              <w:divBdr>
                <w:top w:val="none" w:sz="0" w:space="0" w:color="auto"/>
                <w:left w:val="none" w:sz="0" w:space="0" w:color="auto"/>
                <w:bottom w:val="none" w:sz="0" w:space="0" w:color="auto"/>
                <w:right w:val="none" w:sz="0" w:space="0" w:color="auto"/>
              </w:divBdr>
              <w:divsChild>
                <w:div w:id="1060205933">
                  <w:marLeft w:val="0"/>
                  <w:marRight w:val="0"/>
                  <w:marTop w:val="0"/>
                  <w:marBottom w:val="0"/>
                  <w:divBdr>
                    <w:top w:val="none" w:sz="0" w:space="0" w:color="auto"/>
                    <w:left w:val="none" w:sz="0" w:space="0" w:color="auto"/>
                    <w:bottom w:val="none" w:sz="0" w:space="0" w:color="auto"/>
                    <w:right w:val="none" w:sz="0" w:space="0" w:color="auto"/>
                  </w:divBdr>
                </w:div>
              </w:divsChild>
            </w:div>
            <w:div w:id="1586299265">
              <w:marLeft w:val="0"/>
              <w:marRight w:val="0"/>
              <w:marTop w:val="0"/>
              <w:marBottom w:val="0"/>
              <w:divBdr>
                <w:top w:val="none" w:sz="0" w:space="0" w:color="auto"/>
                <w:left w:val="none" w:sz="0" w:space="0" w:color="auto"/>
                <w:bottom w:val="none" w:sz="0" w:space="0" w:color="auto"/>
                <w:right w:val="none" w:sz="0" w:space="0" w:color="auto"/>
              </w:divBdr>
              <w:divsChild>
                <w:div w:id="181247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125515">
          <w:marLeft w:val="0"/>
          <w:marRight w:val="0"/>
          <w:marTop w:val="0"/>
          <w:marBottom w:val="0"/>
          <w:divBdr>
            <w:top w:val="none" w:sz="0" w:space="0" w:color="auto"/>
            <w:left w:val="none" w:sz="0" w:space="0" w:color="auto"/>
            <w:bottom w:val="none" w:sz="0" w:space="0" w:color="auto"/>
            <w:right w:val="none" w:sz="0" w:space="0" w:color="auto"/>
          </w:divBdr>
          <w:divsChild>
            <w:div w:id="1966349327">
              <w:marLeft w:val="0"/>
              <w:marRight w:val="0"/>
              <w:marTop w:val="0"/>
              <w:marBottom w:val="0"/>
              <w:divBdr>
                <w:top w:val="none" w:sz="0" w:space="0" w:color="auto"/>
                <w:left w:val="none" w:sz="0" w:space="0" w:color="auto"/>
                <w:bottom w:val="none" w:sz="0" w:space="0" w:color="auto"/>
                <w:right w:val="none" w:sz="0" w:space="0" w:color="auto"/>
              </w:divBdr>
              <w:divsChild>
                <w:div w:id="903948000">
                  <w:marLeft w:val="0"/>
                  <w:marRight w:val="0"/>
                  <w:marTop w:val="0"/>
                  <w:marBottom w:val="0"/>
                  <w:divBdr>
                    <w:top w:val="none" w:sz="0" w:space="0" w:color="auto"/>
                    <w:left w:val="none" w:sz="0" w:space="0" w:color="auto"/>
                    <w:bottom w:val="none" w:sz="0" w:space="0" w:color="auto"/>
                    <w:right w:val="none" w:sz="0" w:space="0" w:color="auto"/>
                  </w:divBdr>
                </w:div>
              </w:divsChild>
            </w:div>
            <w:div w:id="1831554989">
              <w:marLeft w:val="0"/>
              <w:marRight w:val="0"/>
              <w:marTop w:val="0"/>
              <w:marBottom w:val="0"/>
              <w:divBdr>
                <w:top w:val="none" w:sz="0" w:space="0" w:color="auto"/>
                <w:left w:val="none" w:sz="0" w:space="0" w:color="auto"/>
                <w:bottom w:val="none" w:sz="0" w:space="0" w:color="auto"/>
                <w:right w:val="none" w:sz="0" w:space="0" w:color="auto"/>
              </w:divBdr>
              <w:divsChild>
                <w:div w:id="177628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47043">
          <w:marLeft w:val="0"/>
          <w:marRight w:val="0"/>
          <w:marTop w:val="0"/>
          <w:marBottom w:val="0"/>
          <w:divBdr>
            <w:top w:val="none" w:sz="0" w:space="0" w:color="auto"/>
            <w:left w:val="none" w:sz="0" w:space="0" w:color="auto"/>
            <w:bottom w:val="none" w:sz="0" w:space="0" w:color="auto"/>
            <w:right w:val="none" w:sz="0" w:space="0" w:color="auto"/>
          </w:divBdr>
          <w:divsChild>
            <w:div w:id="1659840251">
              <w:marLeft w:val="0"/>
              <w:marRight w:val="0"/>
              <w:marTop w:val="0"/>
              <w:marBottom w:val="0"/>
              <w:divBdr>
                <w:top w:val="none" w:sz="0" w:space="0" w:color="auto"/>
                <w:left w:val="none" w:sz="0" w:space="0" w:color="auto"/>
                <w:bottom w:val="none" w:sz="0" w:space="0" w:color="auto"/>
                <w:right w:val="none" w:sz="0" w:space="0" w:color="auto"/>
              </w:divBdr>
              <w:divsChild>
                <w:div w:id="17464021">
                  <w:marLeft w:val="0"/>
                  <w:marRight w:val="0"/>
                  <w:marTop w:val="0"/>
                  <w:marBottom w:val="0"/>
                  <w:divBdr>
                    <w:top w:val="none" w:sz="0" w:space="0" w:color="auto"/>
                    <w:left w:val="none" w:sz="0" w:space="0" w:color="auto"/>
                    <w:bottom w:val="none" w:sz="0" w:space="0" w:color="auto"/>
                    <w:right w:val="none" w:sz="0" w:space="0" w:color="auto"/>
                  </w:divBdr>
                </w:div>
              </w:divsChild>
            </w:div>
            <w:div w:id="1985500767">
              <w:marLeft w:val="0"/>
              <w:marRight w:val="0"/>
              <w:marTop w:val="0"/>
              <w:marBottom w:val="0"/>
              <w:divBdr>
                <w:top w:val="none" w:sz="0" w:space="0" w:color="auto"/>
                <w:left w:val="none" w:sz="0" w:space="0" w:color="auto"/>
                <w:bottom w:val="none" w:sz="0" w:space="0" w:color="auto"/>
                <w:right w:val="none" w:sz="0" w:space="0" w:color="auto"/>
              </w:divBdr>
              <w:divsChild>
                <w:div w:id="836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31913">
          <w:marLeft w:val="0"/>
          <w:marRight w:val="0"/>
          <w:marTop w:val="0"/>
          <w:marBottom w:val="0"/>
          <w:divBdr>
            <w:top w:val="none" w:sz="0" w:space="0" w:color="auto"/>
            <w:left w:val="none" w:sz="0" w:space="0" w:color="auto"/>
            <w:bottom w:val="none" w:sz="0" w:space="0" w:color="auto"/>
            <w:right w:val="none" w:sz="0" w:space="0" w:color="auto"/>
          </w:divBdr>
          <w:divsChild>
            <w:div w:id="904756627">
              <w:marLeft w:val="0"/>
              <w:marRight w:val="0"/>
              <w:marTop w:val="0"/>
              <w:marBottom w:val="0"/>
              <w:divBdr>
                <w:top w:val="none" w:sz="0" w:space="0" w:color="auto"/>
                <w:left w:val="none" w:sz="0" w:space="0" w:color="auto"/>
                <w:bottom w:val="none" w:sz="0" w:space="0" w:color="auto"/>
                <w:right w:val="none" w:sz="0" w:space="0" w:color="auto"/>
              </w:divBdr>
              <w:divsChild>
                <w:div w:id="2103984577">
                  <w:marLeft w:val="0"/>
                  <w:marRight w:val="0"/>
                  <w:marTop w:val="0"/>
                  <w:marBottom w:val="0"/>
                  <w:divBdr>
                    <w:top w:val="none" w:sz="0" w:space="0" w:color="auto"/>
                    <w:left w:val="none" w:sz="0" w:space="0" w:color="auto"/>
                    <w:bottom w:val="none" w:sz="0" w:space="0" w:color="auto"/>
                    <w:right w:val="none" w:sz="0" w:space="0" w:color="auto"/>
                  </w:divBdr>
                </w:div>
              </w:divsChild>
            </w:div>
            <w:div w:id="1584492252">
              <w:marLeft w:val="0"/>
              <w:marRight w:val="0"/>
              <w:marTop w:val="0"/>
              <w:marBottom w:val="0"/>
              <w:divBdr>
                <w:top w:val="none" w:sz="0" w:space="0" w:color="auto"/>
                <w:left w:val="none" w:sz="0" w:space="0" w:color="auto"/>
                <w:bottom w:val="none" w:sz="0" w:space="0" w:color="auto"/>
                <w:right w:val="none" w:sz="0" w:space="0" w:color="auto"/>
              </w:divBdr>
              <w:divsChild>
                <w:div w:id="6350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148441">
          <w:marLeft w:val="0"/>
          <w:marRight w:val="0"/>
          <w:marTop w:val="0"/>
          <w:marBottom w:val="0"/>
          <w:divBdr>
            <w:top w:val="none" w:sz="0" w:space="0" w:color="auto"/>
            <w:left w:val="none" w:sz="0" w:space="0" w:color="auto"/>
            <w:bottom w:val="none" w:sz="0" w:space="0" w:color="auto"/>
            <w:right w:val="none" w:sz="0" w:space="0" w:color="auto"/>
          </w:divBdr>
          <w:divsChild>
            <w:div w:id="537356359">
              <w:marLeft w:val="0"/>
              <w:marRight w:val="0"/>
              <w:marTop w:val="0"/>
              <w:marBottom w:val="0"/>
              <w:divBdr>
                <w:top w:val="none" w:sz="0" w:space="0" w:color="auto"/>
                <w:left w:val="none" w:sz="0" w:space="0" w:color="auto"/>
                <w:bottom w:val="none" w:sz="0" w:space="0" w:color="auto"/>
                <w:right w:val="none" w:sz="0" w:space="0" w:color="auto"/>
              </w:divBdr>
              <w:divsChild>
                <w:div w:id="19226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2808</Words>
  <Characters>16007</Characters>
  <Application>Microsoft Office Word</Application>
  <DocSecurity>0</DocSecurity>
  <Lines>133</Lines>
  <Paragraphs>37</Paragraphs>
  <ScaleCrop>false</ScaleCrop>
  <Company/>
  <LinksUpToDate>false</LinksUpToDate>
  <CharactersWithSpaces>18778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Culhane</dc:creator>
  <cp:keywords/>
  <dc:description/>
  <cp:lastModifiedBy>Andrew Culhane</cp:lastModifiedBy>
  <cp:revision>1</cp:revision>
  <dcterms:created xsi:type="dcterms:W3CDTF">2024-02-09T23:49:00Z</dcterms:created>
  <dcterms:modified xsi:type="dcterms:W3CDTF">2024-02-09T23:53:00Z</dcterms:modified>
</cp:coreProperties>
</file>