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BDAC" w14:textId="77777777" w:rsidR="00596091" w:rsidRPr="00DD7503" w:rsidRDefault="00596091" w:rsidP="00596091">
      <w:pPr>
        <w:spacing w:line="360" w:lineRule="auto"/>
        <w:rPr>
          <w:rFonts w:ascii="Arial" w:hAnsi="Arial" w:cs="Arial"/>
          <w:b/>
          <w:bCs/>
        </w:rPr>
      </w:pPr>
      <w:r w:rsidRPr="00DD7503">
        <w:rPr>
          <w:rFonts w:ascii="Arial" w:hAnsi="Arial" w:cs="Arial"/>
          <w:b/>
          <w:bCs/>
        </w:rPr>
        <w:t>Metabolomics</w:t>
      </w:r>
    </w:p>
    <w:p w14:paraId="3EDA5683" w14:textId="77777777" w:rsidR="00596091" w:rsidRPr="00596091" w:rsidRDefault="00596091" w:rsidP="00596091">
      <w:pPr>
        <w:spacing w:line="360" w:lineRule="auto"/>
        <w:rPr>
          <w:rFonts w:ascii="TimesNewRomanPSMT" w:eastAsia="宋体" w:hAnsi="TimesNewRomanPSMT" w:cs="宋体"/>
          <w:color w:val="000000"/>
          <w:sz w:val="24"/>
          <w:szCs w:val="24"/>
        </w:rPr>
      </w:pP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MDA-MB-231 cells or HEK293T cells were transfected with ΔATG1+2 or Flag-hSPAR for 48 hours. The metabolites were extracted for metabolite quantification by LC/MS analysis at PTMBio (HangZhou, CHINA).</w:t>
      </w:r>
    </w:p>
    <w:p w14:paraId="0DD10877" w14:textId="34EEDA83" w:rsidR="00596091" w:rsidRPr="00596091" w:rsidRDefault="00596091" w:rsidP="00596091">
      <w:pPr>
        <w:rPr>
          <w:rFonts w:ascii="TimesNewRomanPSMT" w:eastAsia="宋体" w:hAnsi="TimesNewRomanPSMT" w:cs="宋体"/>
          <w:color w:val="000000"/>
          <w:sz w:val="24"/>
          <w:szCs w:val="24"/>
        </w:rPr>
      </w:pP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1</w:t>
      </w:r>
      <w:r w:rsidRPr="00596091">
        <w:rPr>
          <w:rFonts w:ascii="TimesNewRomanPSMT" w:eastAsia="宋体" w:hAnsi="TimesNewRomanPSMT" w:cs="宋体" w:hint="eastAsia"/>
          <w:color w:val="000000"/>
          <w:sz w:val="24"/>
          <w:szCs w:val="24"/>
        </w:rPr>
        <w:t>.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Chemicals and reagents</w:t>
      </w:r>
    </w:p>
    <w:p w14:paraId="273E7E32" w14:textId="49D58113" w:rsidR="00596091" w:rsidRPr="00596091" w:rsidRDefault="00596091" w:rsidP="00596091">
      <w:pPr>
        <w:rPr>
          <w:rFonts w:ascii="TimesNewRomanPSMT" w:eastAsia="宋体" w:hAnsi="TimesNewRomanPSMT" w:cs="宋体"/>
          <w:color w:val="000000"/>
          <w:sz w:val="24"/>
          <w:szCs w:val="24"/>
        </w:rPr>
      </w:pP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HPLC-grade acetonitrile (ACN) and methanol (MeOH) were purchased from Merck (Darmstadt, Germany). MilliQ water (Millipore, Bradford, USA) was used in all experiments. All of the standards were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purchased from Sigma-Aldrich (St. Louis, MO, USA). Ammonium acetate and formic acid were bought from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Sigma-Aldrich (St. Louis, MO, USA). The stock solutions of standards were prepared at the concentration of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1 mg/mL in MeOH. All stock solutions were stored at -20°C. The stock solutions were diluted with MeOH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to working solutions before analysis.</w:t>
      </w:r>
    </w:p>
    <w:p w14:paraId="237C0A26" w14:textId="1F69D831" w:rsidR="00596091" w:rsidRPr="00596091" w:rsidRDefault="00596091" w:rsidP="00596091">
      <w:pPr>
        <w:rPr>
          <w:rFonts w:ascii="TimesNewRomanPSMT" w:eastAsia="宋体" w:hAnsi="TimesNewRomanPSMT" w:cs="宋体"/>
          <w:color w:val="000000"/>
          <w:sz w:val="24"/>
          <w:szCs w:val="24"/>
        </w:rPr>
      </w:pP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2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.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Sample preparation and extraction</w:t>
      </w:r>
    </w:p>
    <w:p w14:paraId="1FD9B4FE" w14:textId="6FF57738" w:rsidR="00596091" w:rsidRPr="00596091" w:rsidRDefault="00596091" w:rsidP="00596091">
      <w:pPr>
        <w:rPr>
          <w:rFonts w:ascii="TimesNewRomanPSMT" w:eastAsia="宋体" w:hAnsi="TimesNewRomanPSMT" w:cs="宋体"/>
          <w:color w:val="000000"/>
          <w:sz w:val="24"/>
          <w:szCs w:val="24"/>
        </w:rPr>
      </w:pP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The sample was thawed on ice, 100 μL of ultrapure water extract (containing protease inhibitors, PMSF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and EDTA) was added to resuspend the cell pellet. Divide 50 μL cell suspension and add 200 µL of methanol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(precooled at -20°C) and vortexed for 2 min under the condition of 2500 r/min. The sample was frozen in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liquid nitrogen for 5 min, removed on ice for 5 min, after that, the sample was vortexed for 2 min.The previous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step was repeated for 3 times. The sample was centrifuged at 12000 r/min for 10 min at 4</w:t>
      </w:r>
      <w:r w:rsidRPr="00596091">
        <w:rPr>
          <w:rFonts w:ascii="TimesNewRomanPSMT" w:eastAsia="宋体" w:hAnsi="TimesNewRomanPSMT" w:cs="宋体" w:hint="eastAsia"/>
          <w:color w:val="000000"/>
          <w:sz w:val="24"/>
          <w:szCs w:val="24"/>
        </w:rPr>
        <w:t>°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C. Take 200 μL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of supernatant into a new centrifuge tube and place the supernatant in -20°C refrigerator for 30 min. Then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the supernatant was centrifuged at 12000 r/min for 10 min at 4°C. After centrifugation, transfer 180 μL of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supernatant through Protein Precipitation Plate for further LC-MS analysis. The left 50 μL cell suspension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was frozen and thawed for 3 times, centrifuged at 12,000 r/min for 10 min, and the supernatant was taken to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determine the protein concentration by BCA Protein Assay kit.</w:t>
      </w:r>
    </w:p>
    <w:p w14:paraId="10ABDC67" w14:textId="5BBDB8AF" w:rsidR="00596091" w:rsidRPr="00596091" w:rsidRDefault="00596091" w:rsidP="00596091">
      <w:pPr>
        <w:rPr>
          <w:rFonts w:ascii="TimesNewRomanPSMT" w:eastAsia="宋体" w:hAnsi="TimesNewRomanPSMT" w:cs="宋体"/>
          <w:color w:val="000000"/>
          <w:sz w:val="24"/>
          <w:szCs w:val="24"/>
        </w:rPr>
      </w:pP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3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.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UPLC Conditions</w:t>
      </w:r>
    </w:p>
    <w:p w14:paraId="10ABDC67" w14:textId="5BBDB8AF" w:rsidR="00596091" w:rsidRPr="00596091" w:rsidRDefault="00596091" w:rsidP="00596091">
      <w:pPr>
        <w:rPr>
          <w:rFonts w:ascii="TimesNewRomanPSMT" w:eastAsia="宋体" w:hAnsi="TimesNewRomanPSMT" w:cs="宋体"/>
          <w:color w:val="000000"/>
          <w:sz w:val="24"/>
          <w:szCs w:val="24"/>
        </w:rPr>
      </w:pP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The sample extracts were analyzed using an LC-ESI-MS/MS system (UPLC, ExionLC AD</w:t>
      </w:r>
      <w:r w:rsidRPr="00596091">
        <w:rPr>
          <w:rFonts w:ascii="TimesNewRomanPSMT" w:eastAsia="宋体" w:hAnsi="TimesNewRomanPSMT" w:cs="宋体" w:hint="eastAsia"/>
          <w:color w:val="000000"/>
          <w:sz w:val="24"/>
          <w:szCs w:val="24"/>
        </w:rPr>
        <w:t>,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https://sciex.com.cn/; MS, QTRAP</w:t>
      </w:r>
      <w:r w:rsidRPr="00596091">
        <w:rPr>
          <w:rFonts w:ascii="TimesNewRomanPSMT" w:eastAsia="宋体" w:hAnsi="TimesNewRomanPSMT" w:cs="宋体" w:hint="eastAsia"/>
          <w:color w:val="000000"/>
          <w:sz w:val="24"/>
          <w:szCs w:val="24"/>
        </w:rPr>
        <w:t>®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6500+ System, https://sciex.com /). The analytical conditions were as follows, HPLC: column, ACQUITY BEH Amide (i.d.2.1×100 mm, 1.7 μm); solvent system, water with 2 mM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ammonium acetate and 0.04% formic acid (A), acetonitrile with 2 mM ammonium acetate and 0.04% formic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acid (B); The gradient was started at 90% B (0-1.2 min), decreased to 60% B (9 min), 40% B (10-11 min),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finaly ramped back to 90% B (11.01-15 min); flow rate, 0.4 mL/min; temperature, 40°C; injection volume: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2 μL.</w:t>
      </w:r>
    </w:p>
    <w:p w14:paraId="2C331E7B" w14:textId="66E6FEA4" w:rsidR="00596091" w:rsidRPr="00596091" w:rsidRDefault="00596091" w:rsidP="00596091">
      <w:pPr>
        <w:rPr>
          <w:rFonts w:ascii="TimesNewRomanPSMT" w:eastAsia="宋体" w:hAnsi="TimesNewRomanPSMT" w:cs="宋体"/>
          <w:color w:val="000000"/>
          <w:sz w:val="24"/>
          <w:szCs w:val="24"/>
        </w:rPr>
      </w:pP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4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.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ESI-MS/MS</w:t>
      </w:r>
    </w:p>
    <w:p w14:paraId="4B645BBC" w14:textId="489CE7E5" w:rsidR="009250DD" w:rsidRPr="00596091" w:rsidRDefault="00596091" w:rsidP="00596091">
      <w:pPr>
        <w:rPr>
          <w:rFonts w:ascii="TimesNewRomanPSMT" w:eastAsia="宋体" w:hAnsi="TimesNewRomanPSMT" w:cs="宋体"/>
          <w:color w:val="000000"/>
          <w:sz w:val="24"/>
          <w:szCs w:val="24"/>
        </w:rPr>
      </w:pP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lastRenderedPageBreak/>
        <w:t>AB 6500+ QTRAP® LC-MS/MS System, equipped with an ESI Turbo Ion-Spray interface, operating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in both positive and negative ion modes and controlled by Analyst 1.6 software (AB Sciex). The ESI source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operation parameters were as follows: ion source, turbo spray; source temperature 550°C; ion spray voltage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(IS) 5500 V</w:t>
      </w:r>
      <w:r>
        <w:rPr>
          <w:rFonts w:ascii="TimesNewRomanPSMT" w:eastAsia="宋体" w:hAnsi="TimesNewRomanPSMT" w:cs="宋体"/>
          <w:color w:val="000000"/>
          <w:sz w:val="24"/>
          <w:szCs w:val="24"/>
        </w:rPr>
        <w:t>(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Positive</w:t>
      </w:r>
      <w:r>
        <w:rPr>
          <w:rFonts w:ascii="TimesNewRomanPSMT" w:eastAsia="宋体" w:hAnsi="TimesNewRomanPSMT" w:cs="宋体"/>
          <w:color w:val="000000"/>
          <w:sz w:val="24"/>
          <w:szCs w:val="24"/>
        </w:rPr>
        <w:t>)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,-4500 V(Negative); curtain gas (CUR) were set at 35.0 psi; DP and CE for individual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MRM transitions was done with further DP and CE optimization. A specific set of MRM transitions were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monitored for each period according to the amino acid eluted within this period.</w:t>
      </w:r>
    </w:p>
    <w:p w14:paraId="722A91DF" w14:textId="77777777" w:rsidR="00596091" w:rsidRPr="00596091" w:rsidRDefault="00596091" w:rsidP="00596091">
      <w:pPr>
        <w:widowControl/>
        <w:spacing w:after="0" w:line="240" w:lineRule="auto"/>
        <w:jc w:val="left"/>
        <w:rPr>
          <w:rFonts w:ascii="TimesNewRomanPSMT" w:eastAsia="宋体" w:hAnsi="TimesNewRomanPSMT" w:cs="宋体"/>
          <w:color w:val="000000"/>
          <w:sz w:val="24"/>
          <w:szCs w:val="24"/>
        </w:rPr>
      </w:pPr>
      <w:r w:rsidRPr="00596091">
        <w:rPr>
          <w:rFonts w:ascii="TimesNewRomanPSMT" w:eastAsia="宋体" w:hAnsi="TimesNewRomanPSMT" w:cs="宋体" w:hint="eastAsia"/>
          <w:color w:val="000000"/>
          <w:sz w:val="24"/>
          <w:szCs w:val="24"/>
        </w:rPr>
        <w:t>5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 xml:space="preserve">. </w:t>
      </w:r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Detection of Amino acid and its metabolites</w:t>
      </w:r>
    </w:p>
    <w:p w14:paraId="164962E0" w14:textId="662B1A4F" w:rsidR="00596091" w:rsidRPr="00596091" w:rsidRDefault="00596091" w:rsidP="00596091">
      <w:r w:rsidRPr="00596091">
        <w:rPr>
          <w:rFonts w:ascii="TimesNewRomanPSMT" w:eastAsia="宋体" w:hAnsi="TimesNewRomanPSMT" w:cs="宋体"/>
          <w:color w:val="000000"/>
          <w:sz w:val="24"/>
          <w:szCs w:val="24"/>
        </w:rPr>
        <w:t>Amino acid and its metabolites were detected by (http://www.metware.cn/) based on the AB Sciex QTRAP 6500 LC-MS/MS platform.</w:t>
      </w:r>
    </w:p>
    <w:sectPr w:rsidR="00596091" w:rsidRPr="005960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FFA6E" w14:textId="77777777" w:rsidR="00DE4628" w:rsidRDefault="00DE4628" w:rsidP="00596091">
      <w:pPr>
        <w:spacing w:after="0" w:line="240" w:lineRule="auto"/>
      </w:pPr>
      <w:r>
        <w:separator/>
      </w:r>
    </w:p>
  </w:endnote>
  <w:endnote w:type="continuationSeparator" w:id="0">
    <w:p w14:paraId="53AE3483" w14:textId="77777777" w:rsidR="00DE4628" w:rsidRDefault="00DE4628" w:rsidP="00596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88FEE" w14:textId="77777777" w:rsidR="00DE4628" w:rsidRDefault="00DE4628" w:rsidP="00596091">
      <w:pPr>
        <w:spacing w:after="0" w:line="240" w:lineRule="auto"/>
      </w:pPr>
      <w:r>
        <w:separator/>
      </w:r>
    </w:p>
  </w:footnote>
  <w:footnote w:type="continuationSeparator" w:id="0">
    <w:p w14:paraId="50DB9264" w14:textId="77777777" w:rsidR="00DE4628" w:rsidRDefault="00DE4628" w:rsidP="005960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E19"/>
    <w:rsid w:val="001F3E19"/>
    <w:rsid w:val="00596091"/>
    <w:rsid w:val="009250DD"/>
    <w:rsid w:val="00DE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A3BA3"/>
  <w15:chartTrackingRefBased/>
  <w15:docId w15:val="{6AA01720-D536-4DE6-950B-A56FE12FE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6091"/>
    <w:pPr>
      <w:widowControl w:val="0"/>
      <w:spacing w:after="160" w:line="259" w:lineRule="auto"/>
      <w:jc w:val="both"/>
    </w:pPr>
    <w:rPr>
      <w:rFonts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0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609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6091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6091"/>
    <w:rPr>
      <w:sz w:val="18"/>
      <w:szCs w:val="18"/>
    </w:rPr>
  </w:style>
  <w:style w:type="character" w:customStyle="1" w:styleId="fontstyle01">
    <w:name w:val="fontstyle01"/>
    <w:basedOn w:val="a0"/>
    <w:rsid w:val="0059609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8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482</Words>
  <Characters>2751</Characters>
  <Application>Microsoft Office Word</Application>
  <DocSecurity>0</DocSecurity>
  <Lines>22</Lines>
  <Paragraphs>6</Paragraphs>
  <ScaleCrop>false</ScaleCrop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wangwei</dc:creator>
  <cp:keywords/>
  <dc:description/>
  <cp:lastModifiedBy>wangwei</cp:lastModifiedBy>
  <cp:revision>2</cp:revision>
  <dcterms:created xsi:type="dcterms:W3CDTF">2024-10-09T15:31:00Z</dcterms:created>
  <dcterms:modified xsi:type="dcterms:W3CDTF">2024-10-09T15:41:00Z</dcterms:modified>
</cp:coreProperties>
</file>